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4"/>
          <w:highlight w:val="white"/>
        </w:rPr>
        <w:t>Образовательная деятельность не осуществляется по адаптированным основным общеобразовательным программам.</w:t>
      </w:r>
    </w:p>
    <w:p w14:paraId="02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4"/>
          <w:highlight w:val="white"/>
        </w:rPr>
        <w:t>Условия для инвалидов и лиц с ограниченными возможностями здоровья</w:t>
      </w:r>
    </w:p>
    <w:p w14:paraId="03000000">
      <w:pPr>
        <w:numPr>
          <w:ilvl w:val="0"/>
          <w:numId w:val="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Наличие оборудованных учебных кабинетов, объектов, для проведения практических занятий, библиотек, объектов спорта, средств обучения и воспитания</w:t>
      </w:r>
    </w:p>
    <w:p w14:paraId="04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Оборудованные учебные кабинеты, объекты для проведения практических занятий, библиотеки, объекты спорта, приспособленные для использования инвалидами с малой подвижностью отсутствуют.</w:t>
      </w:r>
    </w:p>
    <w:p w14:paraId="05000000">
      <w:pPr>
        <w:numPr>
          <w:ilvl w:val="0"/>
          <w:numId w:val="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Обеспечение доступа в здания образовательной организации</w:t>
      </w:r>
    </w:p>
    <w:p w14:paraId="06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Конструктивные особенности зданий техникума не предусматривают наличие подъёмников, других приспособлений, обеспечивающих доступ инвалидов и лиц с ограниченными возможностями здоровья (ОВЗ). При необходимости инвалиду или лицу с ОВЗ для обеспечения доступа в здание образовательной организации может быть предоставлено сопровождающее лицо.</w:t>
      </w:r>
    </w:p>
    <w:p w14:paraId="07000000">
      <w:pPr>
        <w:numPr>
          <w:ilvl w:val="0"/>
          <w:numId w:val="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Условия питания</w:t>
      </w:r>
    </w:p>
    <w:p w14:paraId="08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Специальных условий питания для инвалидов и лиц с ограниченными возможностями здоровья не имеется. Создание отдельного меню не практикуется.</w:t>
      </w:r>
    </w:p>
    <w:p w14:paraId="09000000">
      <w:pPr>
        <w:numPr>
          <w:ilvl w:val="0"/>
          <w:numId w:val="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Условия охраны здоровья</w:t>
      </w:r>
    </w:p>
    <w:p w14:paraId="0A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Специальных условий охраны здоровья для инвалидов и лиц с ограниченными возможностями здоровья не имеется по причине отсутствия данной категории обучающихся.</w:t>
      </w:r>
    </w:p>
    <w:p w14:paraId="0B000000">
      <w:pPr>
        <w:numPr>
          <w:ilvl w:val="0"/>
          <w:numId w:val="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Доступ к информационным системам и информационно-телекоммуникационным сетям</w:t>
      </w:r>
    </w:p>
    <w:p w14:paraId="0C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Особые условия доступа к информационным системам и информационно-коммуникационным сетям для инвалидов и лиц с ОВЗ имеются при работе с официальным сайтом техникума, а также представленными электронными образовательными ресурсами, на которых существует версия для слабовидящих.</w:t>
      </w:r>
    </w:p>
    <w:p w14:paraId="0D000000">
      <w:pPr>
        <w:numPr>
          <w:ilvl w:val="0"/>
          <w:numId w:val="6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Наличие специальных технических средств обучения коллективного и индивидуального пользования</w:t>
      </w:r>
    </w:p>
    <w:p w14:paraId="0E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  <w:t>Специальные технические средства обучения коллективного и индивидуального пользования для инвалидов и лиц с ОВЗ отсутствуют по причине отсутствия данной категории обучающихся.</w:t>
      </w:r>
    </w:p>
    <w:p w14:paraId="0F000000">
      <w:pPr>
        <w:spacing w:after="134" w:before="134"/>
        <w:ind w:firstLine="0" w:left="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4"/>
          <w:highlight w:val="white"/>
        </w:rPr>
        <w:t>Доступность услуг для инвалидов.</w:t>
      </w:r>
    </w:p>
    <w:p w14:paraId="10000000">
      <w:pPr>
        <w:numPr>
          <w:ilvl w:val="0"/>
          <w:numId w:val="7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Возможность предоставления инвалидам по слуху (слуху и зрению) услуг сурдопереводчика (тифлосурдопереводчика) - не предоставляется</w:t>
      </w:r>
    </w:p>
    <w:p w14:paraId="11000000">
      <w:pPr>
        <w:numPr>
          <w:ilvl w:val="0"/>
          <w:numId w:val="8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Для инвалидов по слуху и зрению звуковой и зрительной информации не дублируется</w:t>
      </w:r>
    </w:p>
    <w:p w14:paraId="12000000">
      <w:pPr>
        <w:numPr>
          <w:ilvl w:val="0"/>
          <w:numId w:val="9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Дублирование надписей, знаков и иной текстовой и графической информации знаками, выполненными рельефно-точечным шрифтом Брайля - не имеется</w:t>
      </w:r>
    </w:p>
    <w:p w14:paraId="13000000">
      <w:pPr>
        <w:numPr>
          <w:ilvl w:val="0"/>
          <w:numId w:val="10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Наличие адаптированных лифтов, поручней, расширенных дверных проемов - не имеется</w:t>
      </w:r>
    </w:p>
    <w:p w14:paraId="14000000">
      <w:pPr>
        <w:numPr>
          <w:ilvl w:val="0"/>
          <w:numId w:val="11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Наличие возможности предоставления услуги в дистанционном режиме или на дому - не имеется</w:t>
      </w:r>
    </w:p>
    <w:p w14:paraId="15000000">
      <w:pPr>
        <w:numPr>
          <w:ilvl w:val="0"/>
          <w:numId w:val="12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Наличие выделенных стоянок для автотранспортных средств инвалидов - не имеется</w:t>
      </w:r>
    </w:p>
    <w:p w14:paraId="16000000">
      <w:pPr>
        <w:numPr>
          <w:ilvl w:val="0"/>
          <w:numId w:val="13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Наличие сменных кресел-колясок - не имеется</w:t>
      </w:r>
    </w:p>
    <w:p w14:paraId="17000000">
      <w:pPr>
        <w:numPr>
          <w:ilvl w:val="0"/>
          <w:numId w:val="14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Наличие специально оборудованных санитарно-гигиенических помещений в организации - не имеется</w:t>
      </w:r>
    </w:p>
    <w:p w14:paraId="18000000">
      <w:pPr>
        <w:numPr>
          <w:ilvl w:val="0"/>
          <w:numId w:val="15"/>
        </w:numPr>
        <w:rPr>
          <w:rFonts w:ascii="Times New Roman" w:hAnsi="Times New Roman"/>
          <w:sz w:val="24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4"/>
          <w:highlight w:val="white"/>
          <w:u w:color="000000" w:val="single"/>
        </w:rPr>
        <w:t>Помощь, оказываемая работниками организации, прошедшими необходимое обучение (инструктирование) (возможность сопровождения работниками организации) - не имеется</w:t>
      </w:r>
    </w:p>
    <w:p w14:paraId="19000000">
      <w:pPr>
        <w:rPr>
          <w:rFonts w:ascii="Times New Roman" w:hAnsi="Times New Roman"/>
          <w:sz w:val="24"/>
        </w:rPr>
      </w:pPr>
    </w:p>
    <w:sectPr/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abstractNum w:abstractNumId="0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1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2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3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4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5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6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7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8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9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10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11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12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13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abstractNum w:abstractNumId="14">
    <w:lvl w:ilvl="0">
      <w:numFmt w:val="bullet"/>
      <w:lvlText w:val=""/>
      <w:pPr>
        <w:ind w:hanging="360" w:left="720"/>
      </w:pPr>
      <w:rPr>
        <w:rFonts w:ascii="Wingdings" w:hAnsi="Wingdings"/>
      </w:rPr>
    </w:lvl>
    <w:lvl w:ilvl="1">
      <w:numFmt w:val="bullet"/>
      <w:lvlText w:val="o"/>
      <w:pPr>
        <w:ind w:hanging="360" w:left="1440"/>
      </w:pPr>
      <w:rPr>
        <w:rFonts w:ascii="Courier New" w:hAnsi="Courier New"/>
      </w:rPr>
    </w:lvl>
    <w:lvl w:ilvl="2">
      <w:numFmt w:val="bullet"/>
      <w:lvlText w:val=""/>
      <w:pPr>
        <w:ind w:hanging="360" w:left="2160"/>
      </w:pPr>
      <w:rPr>
        <w:rFonts w:ascii="Wingdings" w:hAnsi="Wingdings"/>
      </w:rPr>
    </w:lvl>
    <w:lvl w:ilvl="3">
      <w:numFmt w:val="bullet"/>
      <w:lvlText w:val=""/>
      <w:pPr>
        <w:ind w:hanging="360" w:left="2880"/>
      </w:pPr>
      <w:rPr>
        <w:rFonts w:ascii="Wingdings" w:hAnsi="Wingdings"/>
      </w:rPr>
    </w:lvl>
    <w:lvl w:ilvl="4">
      <w:numFmt w:val="bullet"/>
      <w:lvlText w:val="o"/>
      <w:pPr>
        <w:ind w:hanging="360" w:left="3600"/>
      </w:pPr>
      <w:rPr>
        <w:rFonts w:ascii="Courier New" w:hAnsi="Courier New"/>
      </w:rPr>
    </w:lvl>
    <w:lvl w:ilvl="5">
      <w:numFmt w:val="bullet"/>
      <w:lvlText w:val=""/>
      <w:pPr>
        <w:ind w:hanging="360" w:left="4320"/>
      </w:pPr>
      <w:rPr>
        <w:rFonts w:ascii="Wingdings" w:hAnsi="Wingdings"/>
      </w:rPr>
    </w:lvl>
    <w:lvl w:ilvl="6">
      <w:numFmt w:val="bullet"/>
      <w:lvlText w:val=""/>
      <w:pPr>
        <w:ind w:hanging="360" w:left="5040"/>
      </w:pPr>
      <w:rPr>
        <w:rFonts w:ascii="Wingdings" w:hAnsi="Wingdings"/>
      </w:rPr>
    </w:lvl>
    <w:lvl w:ilvl="7">
      <w:numFmt w:val="bullet"/>
      <w:lvlText w:val="o"/>
      <w:pPr>
        <w:ind w:hanging="360" w:left="5760"/>
      </w:pPr>
      <w:rPr>
        <w:rFonts w:ascii="Courier New" w:hAnsi="Courier New"/>
      </w:rPr>
    </w:lvl>
    <w:lvl w:ilvl="8">
      <w:numFmt w:val="bullet"/>
      <w:lvlText w:val=""/>
      <w:pPr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</w:pPr>
  </w:style>
  <w:style w:styleId="Style_2_ch" w:type="character">
    <w:name w:val="toc 2"/>
    <w:link w:val="Style_2"/>
  </w:style>
  <w:style w:styleId="Style_3" w:type="paragraph">
    <w:name w:val="toc 4"/>
    <w:next w:val="Style_1"/>
    <w:link w:val="Style_3_ch"/>
    <w:uiPriority w:val="39"/>
    <w:pPr>
      <w:ind w:firstLine="0" w:left="600"/>
    </w:pPr>
  </w:style>
  <w:style w:styleId="Style_3_ch" w:type="character">
    <w:name w:val="toc 4"/>
    <w:link w:val="Style_3"/>
  </w:style>
  <w:style w:styleId="Style_4" w:type="paragraph">
    <w:name w:val="toc 6"/>
    <w:next w:val="Style_1"/>
    <w:link w:val="Style_4_ch"/>
    <w:uiPriority w:val="39"/>
    <w:pPr>
      <w:ind w:firstLine="0" w:left="1000"/>
    </w:pPr>
  </w:style>
  <w:style w:styleId="Style_4_ch" w:type="character">
    <w:name w:val="toc 6"/>
    <w:link w:val="Style_4"/>
  </w:style>
  <w:style w:styleId="Style_5" w:type="paragraph">
    <w:name w:val="toc 7"/>
    <w:next w:val="Style_1"/>
    <w:link w:val="Style_5_ch"/>
    <w:uiPriority w:val="39"/>
    <w:pPr>
      <w:ind w:firstLine="0" w:left="1200"/>
    </w:pPr>
  </w:style>
  <w:style w:styleId="Style_5_ch" w:type="character">
    <w:name w:val="toc 7"/>
    <w:link w:val="Style_5"/>
  </w:style>
  <w:style w:styleId="Style_6" w:type="paragraph">
    <w:name w:val="heading 3"/>
    <w:next w:val="Style_1"/>
    <w:link w:val="Style_6_ch"/>
    <w:uiPriority w:val="9"/>
    <w:qFormat/>
    <w:pPr>
      <w:ind/>
      <w:outlineLvl w:val="2"/>
    </w:pPr>
    <w:rPr>
      <w:rFonts w:ascii="XO Thames" w:hAnsi="XO Thames"/>
      <w:b w:val="1"/>
      <w:i w:val="1"/>
      <w:color w:val="000000"/>
    </w:rPr>
  </w:style>
  <w:style w:styleId="Style_6_ch" w:type="character">
    <w:name w:val="heading 3"/>
    <w:link w:val="Style_6"/>
    <w:rPr>
      <w:rFonts w:ascii="XO Thames" w:hAnsi="XO Thames"/>
      <w:b w:val="1"/>
      <w:i w:val="1"/>
      <w:color w:val="000000"/>
    </w:rPr>
  </w:style>
  <w:style w:styleId="Style_7" w:type="paragraph">
    <w:name w:val="toc 3"/>
    <w:next w:val="Style_1"/>
    <w:link w:val="Style_7_ch"/>
    <w:uiPriority w:val="39"/>
    <w:pPr>
      <w:ind w:firstLine="0" w:left="400"/>
    </w:pPr>
  </w:style>
  <w:style w:styleId="Style_7_ch" w:type="character">
    <w:name w:val="toc 3"/>
    <w:link w:val="Style_7"/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outlineLvl w:val="4"/>
    </w:pPr>
    <w:rPr>
      <w:rFonts w:ascii="XO Thames" w:hAnsi="XO Thames"/>
      <w:b w:val="1"/>
      <w:color w:val="000000"/>
      <w:sz w:val="22"/>
    </w:rPr>
  </w:style>
  <w:style w:styleId="Style_8_ch" w:type="character">
    <w:name w:val="heading 5"/>
    <w:link w:val="Style_8"/>
    <w:rPr>
      <w:rFonts w:ascii="XO Thames" w:hAnsi="XO Thames"/>
      <w:b w:val="1"/>
      <w:color w:val="000000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/>
      <w:jc w:val="left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</w:pPr>
    <w:rPr>
      <w:rFonts w:ascii="XO Thames" w:hAnsi="XO Thames"/>
      <w:b w:val="1"/>
    </w:rPr>
  </w:style>
  <w:style w:styleId="Style_12_ch" w:type="character">
    <w:name w:val="toc 1"/>
    <w:link w:val="Style_12"/>
    <w:rPr>
      <w:rFonts w:ascii="XO Thames" w:hAnsi="XO Thames"/>
      <w:b w:val="1"/>
    </w:rPr>
  </w:style>
  <w:style w:styleId="Style_13" w:type="paragraph">
    <w:name w:val="Header and Footer"/>
    <w:link w:val="Style_13_ch"/>
    <w:pPr>
      <w:spacing w:line="360" w:lineRule="auto"/>
      <w:ind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</w:pPr>
  </w:style>
  <w:style w:styleId="Style_14_ch" w:type="character">
    <w:name w:val="toc 9"/>
    <w:link w:val="Style_14"/>
  </w:style>
  <w:style w:styleId="Style_15" w:type="paragraph">
    <w:name w:val="toc 8"/>
    <w:next w:val="Style_1"/>
    <w:link w:val="Style_15_ch"/>
    <w:uiPriority w:val="39"/>
    <w:pPr>
      <w:ind w:firstLine="0" w:left="1400"/>
    </w:pPr>
  </w:style>
  <w:style w:styleId="Style_15_ch" w:type="character">
    <w:name w:val="toc 8"/>
    <w:link w:val="Style_15"/>
  </w:style>
  <w:style w:styleId="Style_16" w:type="paragraph">
    <w:name w:val="toc 5"/>
    <w:next w:val="Style_1"/>
    <w:link w:val="Style_16_ch"/>
    <w:uiPriority w:val="39"/>
    <w:pPr>
      <w:ind w:firstLine="0" w:left="800"/>
    </w:pPr>
  </w:style>
  <w:style w:styleId="Style_16_ch" w:type="character">
    <w:name w:val="toc 5"/>
    <w:link w:val="Style_16"/>
  </w:style>
  <w:style w:styleId="Style_17" w:type="paragraph">
    <w:name w:val="Subtitle"/>
    <w:next w:val="Style_1"/>
    <w:link w:val="Style_17_ch"/>
    <w:uiPriority w:val="11"/>
    <w:qFormat/>
    <w:rPr>
      <w:rFonts w:ascii="XO Thames" w:hAnsi="XO Thames"/>
      <w:i w:val="1"/>
      <w:color w:val="616161"/>
      <w:sz w:val="24"/>
    </w:rPr>
  </w:style>
  <w:style w:styleId="Style_17_ch" w:type="character">
    <w:name w:val="Subtitle"/>
    <w:link w:val="Style_17"/>
    <w:rPr>
      <w:rFonts w:ascii="XO Thames" w:hAnsi="XO Thames"/>
      <w:i w:val="1"/>
      <w:color w:val="61616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</w:pPr>
  </w:style>
  <w:style w:styleId="Style_18_ch" w:type="character">
    <w:name w:val="toc 10"/>
    <w:link w:val="Style_18"/>
  </w:style>
  <w:style w:styleId="Style_19" w:type="paragraph">
    <w:name w:val="Title"/>
    <w:next w:val="Style_1"/>
    <w:link w:val="Style_19_ch"/>
    <w:uiPriority w:val="10"/>
    <w:qFormat/>
    <w:rPr>
      <w:rFonts w:ascii="XO Thames" w:hAnsi="XO Thames"/>
      <w:b w:val="1"/>
      <w:sz w:val="52"/>
    </w:rPr>
  </w:style>
  <w:style w:styleId="Style_19_ch" w:type="character">
    <w:name w:val="Title"/>
    <w:link w:val="Style_19"/>
    <w:rPr>
      <w:rFonts w:ascii="XO Thames" w:hAnsi="XO Thames"/>
      <w:b w:val="1"/>
      <w:sz w:val="52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outlineLvl w:val="3"/>
    </w:pPr>
    <w:rPr>
      <w:rFonts w:ascii="XO Thames" w:hAnsi="XO Thames"/>
      <w:b w:val="1"/>
      <w:color w:val="595959"/>
      <w:sz w:val="26"/>
    </w:rPr>
  </w:style>
  <w:style w:styleId="Style_20_ch" w:type="character">
    <w:name w:val="heading 4"/>
    <w:link w:val="Style_20"/>
    <w:rPr>
      <w:rFonts w:ascii="XO Thames" w:hAnsi="XO Thames"/>
      <w:b w:val="1"/>
      <w:color w:val="595959"/>
      <w:sz w:val="26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outlineLvl w:val="1"/>
    </w:pPr>
    <w:rPr>
      <w:rFonts w:ascii="XO Thames" w:hAnsi="XO Thames"/>
      <w:b w:val="1"/>
      <w:color w:val="00A0FF"/>
      <w:sz w:val="26"/>
    </w:rPr>
  </w:style>
  <w:style w:styleId="Style_21_ch" w:type="character">
    <w:name w:val="heading 2"/>
    <w:link w:val="Style_21"/>
    <w:rPr>
      <w:rFonts w:ascii="XO Thames" w:hAnsi="XO Thames"/>
      <w:b w:val="1"/>
      <w:color w:val="00A0FF"/>
      <w:sz w:val="2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tyles" Target="styles.xml"/><Relationship Id="rId7" Type="http://schemas.openxmlformats.org/officeDocument/2006/relationships/numbering" Target="numbering.xml"/><Relationship Id="rId2" Type="http://schemas.openxmlformats.org/officeDocument/2006/relationships/settings" Target="settings.xml"/><Relationship Id="rId6" Type="http://schemas.openxmlformats.org/officeDocument/2006/relationships/theme" Target="theme/theme1.xml"/><Relationship Id="rId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microsoft.com/office/2007/relationships/stylesWithEffects" Target="stylesWithEffect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F31B2CEDB020D4EB1BAE6EA79865F54" ma:contentTypeVersion="0" ma:contentTypeDescription="Создание документа." ma:contentTypeScope="" ma:versionID="6f85ff5e66a2d526e06a810db076c81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F84CB87-3BB1-4177-A591-61B0571216AE}"/>
</file>

<file path=customXml/itemProps2.xml><?xml version="1.0" encoding="utf-8"?>
<ds:datastoreItem xmlns:ds="http://schemas.openxmlformats.org/officeDocument/2006/customXml" ds:itemID="{6431A1C2-0988-4800-94C6-9C0D26796788}"/>
</file>

<file path=customXml/itemProps3.xml><?xml version="1.0" encoding="utf-8"?>
<ds:datastoreItem xmlns:ds="http://schemas.openxmlformats.org/officeDocument/2006/customXml" ds:itemID="{2E7BE9B1-E6F9-441F-B3CA-A06F4D1F86FC}"/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MyOffice-CoreFramework-Windows/23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2022-05-19T06:13:41Z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0x0101004F31B2CEDB020D4EB1BAE6EA79865F54</vt:lpwstr>
  </property>
</Properties>
</file>