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20"/>
        </w:rPr>
      </w:pPr>
      <w:r>
        <w:rPr>
          <w:b/>
          <w:sz w:val="20"/>
        </w:rPr>
        <w:t>Договор</w:t>
      </w:r>
    </w:p>
    <w:p>
      <w:pPr>
        <w:pStyle w:val="Normal"/>
        <w:jc w:val="center"/>
        <w:rPr>
          <w:sz w:val="20"/>
        </w:rPr>
      </w:pPr>
      <w:r>
        <w:rPr>
          <w:sz w:val="20"/>
        </w:rPr>
        <w:t>на предоставление образования за счет средств бюджета Республики Марий Эл</w:t>
      </w:r>
    </w:p>
    <w:p>
      <w:pPr>
        <w:pStyle w:val="Normal"/>
        <w:jc w:val="center"/>
        <w:rPr>
          <w:sz w:val="20"/>
        </w:rPr>
      </w:pPr>
      <w:r>
        <w:rPr>
          <w:sz w:val="20"/>
        </w:rPr>
      </w:r>
    </w:p>
    <w:p>
      <w:pPr>
        <w:pStyle w:val="Normal"/>
        <w:ind w:hanging="0" w:left="0" w:right="-365"/>
        <w:jc w:val="both"/>
        <w:rPr>
          <w:sz w:val="20"/>
        </w:rPr>
      </w:pPr>
      <w:r>
        <w:rPr>
          <w:sz w:val="20"/>
        </w:rPr>
        <w:t>пгт Мари-Турек</w:t>
        <w:tab/>
        <w:tab/>
        <w:tab/>
        <w:tab/>
        <w:tab/>
        <w:tab/>
        <w:tab/>
        <w:t xml:space="preserve">      «___» _______20 ___ г.</w:t>
      </w:r>
    </w:p>
    <w:p>
      <w:pPr>
        <w:pStyle w:val="Normal"/>
        <w:ind w:hanging="0" w:left="0" w:right="-365"/>
        <w:jc w:val="both"/>
        <w:rPr>
          <w:sz w:val="20"/>
        </w:rPr>
      </w:pPr>
      <w:r>
        <w:rPr>
          <w:sz w:val="20"/>
        </w:rPr>
      </w:r>
    </w:p>
    <w:p>
      <w:pPr>
        <w:pStyle w:val="BodyTextIndent"/>
        <w:rPr>
          <w:sz w:val="20"/>
        </w:rPr>
      </w:pPr>
      <w:r>
        <w:rPr>
          <w:sz w:val="20"/>
        </w:rPr>
        <w:t xml:space="preserve">Государственное бюджетное профессиональное образовательное учреждение Республики Марий Эл «Техникум механизации сельского хозяйства», именуемое в дальнейшем Исполнитель, на основании лицензии № Л035-01267-12/00248281 от 28.06.2021 года, выданной Министерством образования и науки Республики Марий Эл  и Свидетельства о государственной аккредитации №608 от 14 мая 2019 года, выданного Министерством образования и науки Республики Марий Эл в лице директора </w:t>
      </w:r>
      <w:r>
        <w:rPr>
          <w:sz w:val="20"/>
        </w:rPr>
        <w:t>Шамуратовой Натальи Лаврентьевны</w:t>
      </w:r>
      <w:r>
        <w:rPr>
          <w:sz w:val="20"/>
        </w:rPr>
        <w:t>, действующей на основании Устава,  с одной стороны,  и ______________________________________________________________________________________</w:t>
      </w:r>
    </w:p>
    <w:p>
      <w:pPr>
        <w:pStyle w:val="Normal"/>
        <w:jc w:val="center"/>
        <w:rPr>
          <w:sz w:val="20"/>
        </w:rPr>
      </w:pPr>
      <w:r>
        <w:rPr>
          <w:sz w:val="20"/>
          <w:vertAlign w:val="superscript"/>
        </w:rPr>
        <w:t>(Ф.И.О. родителя (законного представителя)</w:t>
      </w:r>
      <w:r>
        <w:rPr>
          <w:sz w:val="20"/>
        </w:rPr>
        <w:t xml:space="preserve"> </w:t>
      </w:r>
      <w:r>
        <w:rPr>
          <w:sz w:val="20"/>
          <w:vertAlign w:val="superscript"/>
        </w:rPr>
        <w:t>несовершеннолетнего или наименование организации, предприятия, с указанием Ф.И.О., должности лица, действующего от имени юридического лица, документов, регламентирующих его деятельность)</w:t>
      </w:r>
    </w:p>
    <w:p>
      <w:pPr>
        <w:pStyle w:val="Normal"/>
        <w:jc w:val="both"/>
        <w:rPr>
          <w:sz w:val="20"/>
        </w:rPr>
      </w:pPr>
      <w:r>
        <w:rPr>
          <w:sz w:val="20"/>
        </w:rPr>
        <w:t>именуем___  в дальнейшем Законный Представитель, и_____________________________________________________________________________________________________,</w:t>
      </w:r>
    </w:p>
    <w:p>
      <w:pPr>
        <w:pStyle w:val="Normal"/>
        <w:jc w:val="center"/>
        <w:rPr>
          <w:sz w:val="20"/>
          <w:vertAlign w:val="superscript"/>
        </w:rPr>
      </w:pPr>
      <w:r>
        <w:rPr>
          <w:sz w:val="20"/>
          <w:vertAlign w:val="superscript"/>
        </w:rPr>
        <w:t>(Фамилия, имя, отчество несовершеннолетнего)</w:t>
      </w:r>
    </w:p>
    <w:p>
      <w:pPr>
        <w:pStyle w:val="Normal"/>
        <w:jc w:val="both"/>
        <w:rPr>
          <w:sz w:val="20"/>
        </w:rPr>
      </w:pPr>
      <w:r>
        <w:rPr>
          <w:sz w:val="20"/>
        </w:rPr>
        <w:t>именуемый в дальнейшем Обучающийся, с другой стороны, вместе именуемые Стороны, заключили настоящий договор о нижеследующем:</w:t>
      </w:r>
    </w:p>
    <w:p>
      <w:pPr>
        <w:pStyle w:val="Normal"/>
        <w:jc w:val="center"/>
        <w:rPr>
          <w:b/>
          <w:sz w:val="20"/>
        </w:rPr>
      </w:pPr>
      <w:r>
        <w:rPr>
          <w:b/>
          <w:sz w:val="20"/>
        </w:rPr>
      </w:r>
    </w:p>
    <w:p>
      <w:pPr>
        <w:pStyle w:val="Normal"/>
        <w:jc w:val="center"/>
        <w:rPr>
          <w:b/>
          <w:sz w:val="20"/>
        </w:rPr>
      </w:pPr>
      <w:r>
        <w:rPr>
          <w:b/>
          <w:sz w:val="20"/>
        </w:rPr>
        <w:t>1. Предмет договора</w:t>
      </w:r>
    </w:p>
    <w:p>
      <w:pPr>
        <w:pStyle w:val="Normal"/>
        <w:ind w:firstLine="720" w:left="0" w:right="0"/>
        <w:jc w:val="both"/>
        <w:rPr>
          <w:b/>
          <w:sz w:val="20"/>
        </w:rPr>
      </w:pPr>
      <w:r>
        <w:rPr>
          <w:sz w:val="20"/>
        </w:rPr>
        <w:t xml:space="preserve">1.1. Исполнитель предоставляет Обучающемуся за счет средств бюджета Республики Марий Эл образовательные услуги по специальности/профессии 35.01.27 </w:t>
      </w:r>
      <w:r>
        <w:rPr>
          <w:b/>
          <w:sz w:val="20"/>
        </w:rPr>
        <w:t>МАСТЕР СЕЛЬСКОХОЗЯЙСТВЕННОГО ПРОИЗВОДСТВА очной форме обучения.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1.2. Исполнитель гарантирует качество предоставляемого обучения только при условии выполнения Обучающимся всех требований, предъявляемых к обучающимся Уставом, Правилами внутреннего распорядка, учебными планами, программами, календарными графиками, расписаниями и правилами проведения промежуточных и итоговых аттестаций.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1.3. Основным местом предоставления образовательных услуг по настоящему договору является </w:t>
      </w:r>
      <w:r>
        <w:rPr>
          <w:sz w:val="20"/>
        </w:rPr>
        <w:t>Государственное бюджетное профессиональное образовательное учреждение Республики Марий Эл «Техникум механизации сельского хозяйства», расположенное по адресу: Республика Марий Эл, пгт. Мари-Турек, ул. Мичурина, 30</w:t>
      </w:r>
      <w:r>
        <w:rPr>
          <w:color w:val="000000"/>
          <w:sz w:val="20"/>
        </w:rPr>
        <w:t xml:space="preserve">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1.4. После прохождения Обучающимся полного курса обучения и успешной итоговой аттестации ему выдается диплом государственного образца </w:t>
      </w:r>
      <w:r>
        <w:rPr>
          <w:sz w:val="20"/>
        </w:rPr>
        <w:t>по программе подготовки специалистов среднего звена /по программе подготовки квалифицированных рабочих, служащих</w:t>
      </w:r>
      <w:r>
        <w:rPr>
          <w:color w:val="000000"/>
          <w:sz w:val="20"/>
        </w:rPr>
        <w:t xml:space="preserve">, указанной в п. 1.1. настоящего договора.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1.5. В случае отчисления Обучающегося до завершения им обучения в полном объеме ему выдается предусмотренный действующим законодательством документ.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1.6. Нормативный срок обучения по данной образовательной программе составляет 2 года 10 месяцев учебных года.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1.7. Досрочное прекращение настоящего договора по требованию одной из сторон наступает в следующих случаях: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1.7.1. В случае невозможности исполнения договора по вине Обучающегося (отчисление обучающегося за неисполнение обязанностей, предусмотренных законодательством РФ об образовании, локальными нормативными актами Исполнителя, в том числе за: академическую неуспеваемость; не прохождение или неудовлетворительное прохождение итоговой аттестации; не ликвидацию академической задолженности в установленные сроки без уважительных причин; невыполнение учебного плана; самовольное оставление учебы, в связи с невыходом из академического отпуска; систематическое или грубое нарушение Правил внутреннего распорядка; систематическое или грубое нарушение обязанностей обучающегося, установленных Уставом; поведение, несовместимое со статусом обучающегося; нарушение условий настоящего договора).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>1.7.2. В случае отказа Обучающегося от договора.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sz w:val="20"/>
        </w:rPr>
        <w:t>1.8. Обучающийся</w:t>
      </w:r>
      <w:r>
        <w:rPr>
          <w:color w:val="000000"/>
          <w:sz w:val="20"/>
        </w:rPr>
        <w:t xml:space="preserve"> имеет право на получение стипендий и иных социальных выплат, предусмотренных для обучающихся за счет средств республиканского бюджета и собственных средств Учреждения, полученных от предпринимательской деятельности. </w:t>
      </w:r>
    </w:p>
    <w:p>
      <w:pPr>
        <w:pStyle w:val="Normal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</w:r>
    </w:p>
    <w:p>
      <w:pPr>
        <w:pStyle w:val="Normal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  <w:t>2. Права и обязанности сторон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2.1. Исполнитель вправе самостоятельно осуществлять образовательный процесс, выбирать системы оценок, формы, порядок и периодичность промежуточной аттестации Обучающегося, применять к нему меры поощрения и налагать взыскания в пределах, предусмотренных Уставом, а также в соответствии с локальными нормативными актами Исполнителя.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2.2. Законный представитель вправе требовать от Исполнителя предоставления информации по вопросам организации образовательного процесса, предусмотренного настоящим договором, а также вправе получать информацию об успеваемости, поведении, отношении Обучающегося к учебе; участвовать в управлении образовательным учреждением в соответствии с его Уставом; определять по согласованию с Исполнителем темпы и сроки освоения Обучающимся основных и дополнительных образовательных программ; обращаться в конфликтную комиссию Исполнителя в случае несогласия с решением или действиями администрации, преподавателя, руководителя группы.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2.3. Обучающийся вправе обращаться к сотрудникам Исполнителя по вопросам, касающимся процесса обучения в образовательном учреждении; пользоваться имуществом Исполнителя, необходимым для осуществления образовательного процесса во время занятий, предусмотренных расписанием; пользоваться дополнительными образовательными услугами, предоставляемыми Исполнителем и не входящими в учебную программу, на основании отдельно заключенного договора; принимать участие в социально–культурных, оздоровительных и других мероприятиях, организованных Исполнителем.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2.4. Исполнитель обязан зачислить Обучающегося, выполнившего установленные Уставом и иными локальными нормативными актами Исполнителя условия приема, организовать и обеспечить надлежащее исполнение услуг, предусмотренных настоящим договором, создать Обучающемуся необходимые условия для освоения выбранной образовательной программы, проявлять уважение к личности Обучающегося. </w:t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2.5. Законный представитель обязан нести ответственность за обеспечение Обучающегося необходимыми средствами для успешного обучения и воспитания, в том числе спортивной формой, спецодеждой для прохождения производственной практики; совместно с Исполнителем контролировать обучение Обучающегося; посещать родительские собрания, в т.ч. общетехникумовские, по мере их созыва; возмещать ущерб, причиненный Обучающимся имуществу Исполнителя. </w:t>
      </w:r>
    </w:p>
    <w:p>
      <w:pPr>
        <w:pStyle w:val="Normal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>2.6. Обучающийся при поступлении в образовательное Учреждение и в процессе обучения обязан своевременно предоставлять все необходимые документы, посещать занятия, указанные в учебном расписании, выполнять задания по подготовке к занятиям, даваемые педагогическими работниками Исполнителя, извещать Исполнителя об уважительных причинах отсутствия на занятиях, соблюдать требования Устава, Правил внутреннего распорядка и иных локальных нормативных актов, соблюдать учебную дисциплину и общепринятые нормы поведения, проявлять уважение к педагогическому, инженерно-техническому, административно-хозяйственному, учебно-вспомогательному персоналу Исполнителя и другим обучающимся, не посягать на их честь и достоинство, бережно относиться к имуществу Исполнителя.</w:t>
      </w:r>
    </w:p>
    <w:p>
      <w:pPr>
        <w:pStyle w:val="1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</w:r>
    </w:p>
    <w:p>
      <w:pPr>
        <w:pStyle w:val="1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  <w:t xml:space="preserve">3. Ответственность за неисполнение или ненадлежащее исполнение обязательств по настоящему договору </w:t>
      </w:r>
    </w:p>
    <w:p>
      <w:pPr>
        <w:pStyle w:val="Default1"/>
        <w:rPr>
          <w:sz w:val="20"/>
        </w:rPr>
      </w:pPr>
      <w:r>
        <w:rPr>
          <w:sz w:val="20"/>
        </w:rPr>
      </w:r>
    </w:p>
    <w:p>
      <w:pPr>
        <w:pStyle w:val="1"/>
        <w:ind w:firstLine="720" w:left="0" w:right="0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3.1. В случае неисполнения или ненадлежащего исполнения сторонами обязательств по настоящему договору они несут ответственность, предусмотренную законодательством Российской Федерации. </w:t>
      </w:r>
    </w:p>
    <w:p>
      <w:pPr>
        <w:pStyle w:val="1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</w:r>
    </w:p>
    <w:p>
      <w:pPr>
        <w:pStyle w:val="1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</w:r>
    </w:p>
    <w:p>
      <w:pPr>
        <w:pStyle w:val="1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  <w:t xml:space="preserve">4. Срок действия договора и другие условия </w:t>
      </w:r>
    </w:p>
    <w:p>
      <w:pPr>
        <w:pStyle w:val="Default1"/>
        <w:rPr>
          <w:sz w:val="20"/>
        </w:rPr>
      </w:pPr>
      <w:r>
        <w:rPr>
          <w:sz w:val="20"/>
        </w:rPr>
      </w:r>
    </w:p>
    <w:p>
      <w:pPr>
        <w:pStyle w:val="1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4.1. Настоящий договор вступает в силу с момента его подписания и действует в течение всего периода обучения Обучающегося. </w:t>
      </w:r>
    </w:p>
    <w:p>
      <w:pPr>
        <w:pStyle w:val="1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4.2. Договор составлен в 2 экземплярах, имеющих равную юридическую силу. </w:t>
      </w:r>
    </w:p>
    <w:p>
      <w:pPr>
        <w:pStyle w:val="Normal"/>
        <w:spacing w:before="240" w:after="120"/>
        <w:jc w:val="center"/>
        <w:rPr>
          <w:b/>
          <w:color w:val="000000"/>
          <w:sz w:val="20"/>
        </w:rPr>
      </w:pPr>
      <w:r>
        <w:rPr>
          <w:b/>
          <w:color w:val="000000"/>
          <w:sz w:val="20"/>
        </w:rPr>
      </w:r>
    </w:p>
    <w:p>
      <w:pPr>
        <w:pStyle w:val="Normal"/>
        <w:spacing w:before="240" w:after="120"/>
        <w:jc w:val="center"/>
        <w:rPr>
          <w:b/>
          <w:sz w:val="20"/>
        </w:rPr>
      </w:pPr>
      <w:r>
        <w:rPr>
          <w:b/>
          <w:color w:val="000000"/>
          <w:sz w:val="20"/>
        </w:rPr>
        <w:t xml:space="preserve">5. </w:t>
      </w:r>
      <w:r>
        <w:rPr>
          <w:b/>
          <w:sz w:val="20"/>
        </w:rPr>
        <w:t xml:space="preserve">Юридические адреса и реквизиты сторон </w:t>
      </w:r>
    </w:p>
    <w:tbl>
      <w:tblPr>
        <w:tblStyle w:val="Style_4"/>
        <w:tblW w:w="10676" w:type="dxa"/>
        <w:jc w:val="left"/>
        <w:tblInd w:w="-2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8"/>
        <w:gridCol w:w="236"/>
        <w:gridCol w:w="3242"/>
        <w:gridCol w:w="234"/>
        <w:gridCol w:w="3366"/>
      </w:tblGrid>
      <w:tr>
        <w:trPr/>
        <w:tc>
          <w:tcPr>
            <w:tcW w:w="359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240" w:after="120"/>
              <w:ind w:hanging="0" w:left="0" w:right="0"/>
              <w:jc w:val="center"/>
              <w:rPr>
                <w:b/>
                <w:sz w:val="20"/>
                <w:u w:val="single"/>
              </w:rPr>
            </w:pPr>
            <w:r>
              <w:rPr>
                <w:b/>
                <w:color w:val="000000"/>
                <w:spacing w:val="0"/>
                <w:kern w:val="0"/>
                <w:sz w:val="20"/>
                <w:szCs w:val="20"/>
                <w:u w:val="single"/>
              </w:rPr>
              <w:t>Исполнитель</w:t>
            </w:r>
          </w:p>
        </w:tc>
        <w:tc>
          <w:tcPr>
            <w:tcW w:w="2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240" w:after="120"/>
              <w:ind w:hanging="0" w:left="0" w:right="0"/>
              <w:jc w:val="center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</w:r>
          </w:p>
        </w:tc>
        <w:tc>
          <w:tcPr>
            <w:tcW w:w="32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240" w:after="120"/>
              <w:ind w:hanging="0" w:left="0" w:right="0"/>
              <w:jc w:val="center"/>
              <w:rPr>
                <w:b/>
                <w:sz w:val="20"/>
                <w:u w:val="single"/>
              </w:rPr>
            </w:pPr>
            <w:r>
              <w:rPr>
                <w:b/>
                <w:color w:val="000000"/>
                <w:spacing w:val="0"/>
                <w:kern w:val="0"/>
                <w:sz w:val="20"/>
                <w:szCs w:val="20"/>
                <w:u w:val="single"/>
              </w:rPr>
              <w:t>Законный представитель</w:t>
            </w:r>
          </w:p>
        </w:tc>
        <w:tc>
          <w:tcPr>
            <w:tcW w:w="2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240" w:after="120"/>
              <w:ind w:hanging="0" w:left="0" w:right="0"/>
              <w:jc w:val="center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</w:r>
          </w:p>
        </w:tc>
        <w:tc>
          <w:tcPr>
            <w:tcW w:w="33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240" w:after="120"/>
              <w:ind w:hanging="0" w:left="0" w:right="0"/>
              <w:jc w:val="center"/>
              <w:rPr>
                <w:b/>
                <w:sz w:val="20"/>
                <w:u w:val="single"/>
              </w:rPr>
            </w:pPr>
            <w:r>
              <w:rPr>
                <w:b/>
                <w:color w:val="000000"/>
                <w:spacing w:val="0"/>
                <w:kern w:val="0"/>
                <w:sz w:val="20"/>
                <w:szCs w:val="20"/>
                <w:u w:val="single"/>
              </w:rPr>
              <w:t>Обучающийся</w:t>
            </w:r>
          </w:p>
        </w:tc>
      </w:tr>
      <w:tr>
        <w:trPr/>
        <w:tc>
          <w:tcPr>
            <w:tcW w:w="359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Государственное бюджетное профессиональное образовательное учреждение Республики Марий Эл «Техникум механизации сельского хозяйства»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b/>
                <w:color w:val="000000"/>
                <w:spacing w:val="0"/>
                <w:kern w:val="0"/>
                <w:sz w:val="20"/>
                <w:szCs w:val="20"/>
              </w:rPr>
              <w:t>ИНН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 xml:space="preserve"> 120600503</w:t>
            </w:r>
            <w:r>
              <w:rPr>
                <w:b/>
                <w:color w:val="000000"/>
                <w:spacing w:val="0"/>
                <w:kern w:val="0"/>
                <w:sz w:val="20"/>
                <w:szCs w:val="20"/>
              </w:rPr>
              <w:t>КПП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3"/>
                <w:kern w:val="0"/>
                <w:sz w:val="20"/>
                <w:szCs w:val="20"/>
              </w:rPr>
              <w:t>120601001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b/>
                <w:color w:val="000000"/>
                <w:spacing w:val="0"/>
                <w:kern w:val="0"/>
                <w:sz w:val="20"/>
                <w:szCs w:val="20"/>
              </w:rPr>
              <w:t>Адрес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>: 425500, Республика Марий Эл, пгт.Мари-Турек, ул.Мичурина, 30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Тел. 9-70-03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-288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Д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>иректор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-288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ГБПОУ РМЭ «ТМСХ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>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-288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 xml:space="preserve">_________________ </w:t>
            </w:r>
            <w:r>
              <w:rPr>
                <w:color w:val="000000"/>
                <w:spacing w:val="0"/>
                <w:kern w:val="0"/>
                <w:sz w:val="20"/>
                <w:szCs w:val="20"/>
              </w:rPr>
              <w:t>Н.Л.Шамуратова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-288"/>
              <w:jc w:val="left"/>
              <w:rPr>
                <w:sz w:val="20"/>
                <w:vertAlign w:val="superscript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  <w:vertAlign w:val="superscript"/>
              </w:rPr>
              <w:t xml:space="preserve">      </w:t>
            </w:r>
            <w:r>
              <w:rPr>
                <w:color w:val="000000"/>
                <w:spacing w:val="0"/>
                <w:kern w:val="0"/>
                <w:sz w:val="20"/>
                <w:szCs w:val="20"/>
                <w:vertAlign w:val="superscript"/>
              </w:rPr>
              <w:t>подпись</w:t>
            </w:r>
          </w:p>
        </w:tc>
        <w:tc>
          <w:tcPr>
            <w:tcW w:w="2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240" w:after="120"/>
              <w:ind w:hanging="0" w:left="0" w:right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2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Ф.И.О. 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Паспорт_______________________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Серия_______№________________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Выдан__________________________________________________________________________________________________________________</w:t>
              <w:br/>
              <w:t>Зарегистрированный по адресу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Проживающий по адресу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______________/__________/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0"/>
                <w:kern w:val="0"/>
                <w:sz w:val="20"/>
                <w:szCs w:val="20"/>
                <w:vertAlign w:val="superscript"/>
              </w:rPr>
              <w:t>подпись</w:t>
            </w:r>
          </w:p>
        </w:tc>
        <w:tc>
          <w:tcPr>
            <w:tcW w:w="2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3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Ф.И.О. 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Паспорт________________________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Серия_______№_________________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Выдан______________________________________________________________________________________________________________________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Зарегистрированный по адресу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____________________________________________________________________________________________________________________________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Проживающий по адресу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____________________________________________________________________________________________________________________________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</w:rPr>
              <w:t>______________/__________/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0"/>
              </w:rPr>
            </w:pPr>
            <w:r>
              <w:rPr>
                <w:color w:val="000000"/>
                <w:spacing w:val="0"/>
                <w:kern w:val="0"/>
                <w:sz w:val="20"/>
                <w:szCs w:val="20"/>
                <w:vertAlign w:val="superscript"/>
              </w:rPr>
              <w:t>подпись</w:t>
            </w:r>
          </w:p>
        </w:tc>
      </w:tr>
    </w:tbl>
    <w:p>
      <w:pPr>
        <w:pStyle w:val="BodyTextIndent21"/>
        <w:rPr>
          <w:sz w:val="20"/>
        </w:rPr>
      </w:pPr>
      <w:r>
        <w:rPr>
          <w:sz w:val="20"/>
        </w:rPr>
      </w:r>
    </w:p>
    <w:sectPr>
      <w:type w:val="nextPage"/>
      <w:pgSz w:w="11906" w:h="16838"/>
      <w:pgMar w:left="1134" w:right="424" w:gutter="0" w:header="0" w:top="709" w:footer="0" w:bottom="85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XO Thames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4"/>
      <w:szCs w:val="20"/>
      <w:lang w:val="ru-RU" w:eastAsia="zh-CN" w:bidi="hi-IN"/>
    </w:rPr>
  </w:style>
  <w:style w:type="paragraph" w:styleId="Heading1">
    <w:name w:val="heading 1"/>
    <w:basedOn w:val="Normal"/>
    <w:next w:val="Normal"/>
    <w:uiPriority w:val="9"/>
    <w:qFormat/>
    <w:pPr>
      <w:keepNext w:val="true"/>
      <w:spacing w:before="240" w:after="60"/>
      <w:outlineLvl w:val="0"/>
    </w:pPr>
    <w:rPr>
      <w:rFonts w:ascii="Arial" w:hAnsi="Arial"/>
      <w:b/>
      <w:sz w:val="32"/>
    </w:rPr>
  </w:style>
  <w:style w:type="paragraph" w:styleId="Heading2">
    <w:name w:val="heading 2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1"/>
    </w:pPr>
    <w:rPr>
      <w:rFonts w:ascii="XO Thames" w:hAnsi="XO Thames" w:eastAsia="NSimSun" w:cs="Arial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Heading3">
    <w:name w:val="heading 3"/>
    <w:next w:val="Normal"/>
    <w:uiPriority w:val="9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  <w:outlineLvl w:val="2"/>
    </w:pPr>
    <w:rPr>
      <w:rFonts w:ascii="XO Thames" w:hAnsi="XO Thames" w:eastAsia="NSimSun" w:cs="Arial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Heading4">
    <w:name w:val="heading 4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3"/>
    </w:pPr>
    <w:rPr>
      <w:rFonts w:ascii="XO Thames" w:hAnsi="XO Thames" w:eastAsia="NSimSun" w:cs="Arial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Heading5">
    <w:name w:val="heading 5"/>
    <w:next w:val="Normal"/>
    <w:uiPriority w:val="9"/>
    <w:qFormat/>
    <w:pPr>
      <w:widowControl/>
      <w:suppressAutoHyphens w:val="true"/>
      <w:bidi w:val="0"/>
      <w:spacing w:lineRule="auto" w:line="240" w:before="120" w:after="120"/>
      <w:ind w:hanging="0" w:left="0" w:right="0"/>
      <w:jc w:val="left"/>
      <w:outlineLvl w:val="4"/>
    </w:pPr>
    <w:rPr>
      <w:rFonts w:ascii="XO Thames" w:hAnsi="XO Thames" w:eastAsia="NSimSun" w:cs="Arial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qFormat/>
    <w:rPr/>
  </w:style>
  <w:style w:type="character" w:styleId="Contents4">
    <w:name w:val="Contents 4"/>
    <w:qFormat/>
    <w:rPr/>
  </w:style>
  <w:style w:type="character" w:styleId="Contents6">
    <w:name w:val="Contents 6"/>
    <w:qFormat/>
    <w:rPr/>
  </w:style>
  <w:style w:type="character" w:styleId="Contents7">
    <w:name w:val="Contents 7"/>
    <w:qFormat/>
    <w:rPr/>
  </w:style>
  <w:style w:type="character" w:styleId="Heading31">
    <w:name w:val="Heading 31"/>
    <w:qFormat/>
    <w:rPr>
      <w:rFonts w:ascii="XO Thames" w:hAnsi="XO Thames"/>
      <w:b/>
      <w:i/>
      <w:color w:val="000000"/>
    </w:rPr>
  </w:style>
  <w:style w:type="character" w:styleId="Style9">
    <w:name w:val="......."/>
    <w:basedOn w:val="Default"/>
    <w:link w:val="1"/>
    <w:qFormat/>
    <w:rPr>
      <w:color w:val="000000"/>
    </w:rPr>
  </w:style>
  <w:style w:type="character" w:styleId="Default">
    <w:name w:val="Default"/>
    <w:link w:val="Default1"/>
    <w:qFormat/>
    <w:rPr>
      <w:color w:val="000000"/>
      <w:sz w:val="24"/>
    </w:rPr>
  </w:style>
  <w:style w:type="character" w:styleId="DefaultParagraphFont">
    <w:name w:val="Default Paragraph Font"/>
    <w:link w:val="DefaultParagraphFont1"/>
    <w:qFormat/>
    <w:rPr/>
  </w:style>
  <w:style w:type="character" w:styleId="Contents3">
    <w:name w:val="Contents 3"/>
    <w:qFormat/>
    <w:rPr/>
  </w:style>
  <w:style w:type="character" w:styleId="Heading51">
    <w:name w:val="Heading 51"/>
    <w:qFormat/>
    <w:rPr>
      <w:rFonts w:ascii="XO Thames" w:hAnsi="XO Thames"/>
      <w:b/>
      <w:color w:val="000000"/>
      <w:sz w:val="22"/>
    </w:rPr>
  </w:style>
  <w:style w:type="character" w:styleId="Heading11">
    <w:name w:val="Heading 11"/>
    <w:qFormat/>
    <w:rPr>
      <w:rFonts w:ascii="Arial" w:hAnsi="Arial"/>
      <w:b/>
      <w:sz w:val="32"/>
    </w:rPr>
  </w:style>
  <w:style w:type="character" w:styleId="Hyperlink">
    <w:name w:val="Hyperlink"/>
    <w:rPr>
      <w:color w:val="0000FF"/>
      <w:u w:val="single"/>
    </w:rPr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BalloonText">
    <w:name w:val="Balloon Text"/>
    <w:link w:val="BalloonText1"/>
    <w:qFormat/>
    <w:rPr>
      <w:rFonts w:ascii="Segoe UI" w:hAnsi="Segoe UI"/>
      <w:sz w:val="18"/>
    </w:rPr>
  </w:style>
  <w:style w:type="character" w:styleId="Contents1">
    <w:name w:val="Contents 1"/>
    <w:qFormat/>
    <w:rPr>
      <w:rFonts w:ascii="XO Thames" w:hAnsi="XO Thames"/>
      <w:b/>
    </w:rPr>
  </w:style>
  <w:style w:type="character" w:styleId="HeaderandFooter">
    <w:name w:val="Header and Footer"/>
    <w:qFormat/>
    <w:rPr>
      <w:rFonts w:ascii="XO Thames" w:hAnsi="XO Thames"/>
      <w:sz w:val="20"/>
    </w:rPr>
  </w:style>
  <w:style w:type="character" w:styleId="BodyTextIndent2">
    <w:name w:val="Body Text Indent 2"/>
    <w:link w:val="BodyTextIndent21"/>
    <w:qFormat/>
    <w:rPr/>
  </w:style>
  <w:style w:type="character" w:styleId="Textbodyindent">
    <w:name w:val="Text body indent"/>
    <w:qFormat/>
    <w:rPr/>
  </w:style>
  <w:style w:type="character" w:styleId="Contents9">
    <w:name w:val="Contents 9"/>
    <w:qFormat/>
    <w:rPr/>
  </w:style>
  <w:style w:type="character" w:styleId="Contents8">
    <w:name w:val="Contents 8"/>
    <w:qFormat/>
    <w:rPr/>
  </w:style>
  <w:style w:type="character" w:styleId="Contents5">
    <w:name w:val="Contents 5"/>
    <w:qFormat/>
    <w:rPr/>
  </w:style>
  <w:style w:type="character" w:styleId="Subtitle1">
    <w:name w:val="Subtitle1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toc101"/>
    <w:qFormat/>
    <w:rPr/>
  </w:style>
  <w:style w:type="character" w:styleId="Title1">
    <w:name w:val="Title1"/>
    <w:qFormat/>
    <w:rPr>
      <w:rFonts w:ascii="XO Thames" w:hAnsi="XO Thames"/>
      <w:b/>
      <w:sz w:val="52"/>
    </w:rPr>
  </w:style>
  <w:style w:type="character" w:styleId="Heading41">
    <w:name w:val="Heading 41"/>
    <w:qFormat/>
    <w:rPr>
      <w:rFonts w:ascii="XO Thames" w:hAnsi="XO Thames"/>
      <w:b/>
      <w:color w:val="595959"/>
      <w:sz w:val="26"/>
    </w:rPr>
  </w:style>
  <w:style w:type="character" w:styleId="Heading21">
    <w:name w:val="Heading 21"/>
    <w:qFormat/>
    <w:rPr>
      <w:rFonts w:ascii="XO Thames" w:hAnsi="XO Thames"/>
      <w:b/>
      <w:color w:val="00A0FF"/>
      <w:sz w:val="26"/>
    </w:rPr>
  </w:style>
  <w:style w:type="paragraph" w:styleId="Style10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1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TOC2">
    <w:name w:val="toc 2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2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4">
    <w:name w:val="toc 4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6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6">
    <w:name w:val="toc 6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0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7">
    <w:name w:val="toc 7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2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.......1"/>
    <w:basedOn w:val="Default1"/>
    <w:next w:val="Default1"/>
    <w:link w:val="Style9"/>
    <w:qFormat/>
    <w:pPr/>
    <w:rPr>
      <w:color w:val="000000"/>
    </w:rPr>
  </w:style>
  <w:style w:type="paragraph" w:styleId="Default1">
    <w:name w:val="Default1"/>
    <w:link w:val="Default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4"/>
      <w:szCs w:val="20"/>
      <w:lang w:val="ru-RU" w:eastAsia="zh-CN" w:bidi="hi-IN"/>
    </w:rPr>
  </w:style>
  <w:style w:type="paragraph" w:styleId="DefaultParagraphFont1">
    <w:name w:val="Default Paragraph Font1"/>
    <w:link w:val="DefaultParagraphFont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3">
    <w:name w:val="toc 3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4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Internet link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Arial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1"/>
    <w:link w:val="Footnote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color w:val="000000"/>
      <w:spacing w:val="0"/>
      <w:kern w:val="0"/>
      <w:sz w:val="22"/>
      <w:szCs w:val="20"/>
      <w:lang w:val="ru-RU" w:eastAsia="zh-CN" w:bidi="hi-IN"/>
    </w:rPr>
  </w:style>
  <w:style w:type="paragraph" w:styleId="BalloonText1">
    <w:name w:val="Balloon Text1"/>
    <w:basedOn w:val="Normal"/>
    <w:link w:val="BalloonText"/>
    <w:qFormat/>
    <w:pPr/>
    <w:rPr>
      <w:rFonts w:ascii="Segoe UI" w:hAnsi="Segoe UI"/>
      <w:sz w:val="18"/>
    </w:rPr>
  </w:style>
  <w:style w:type="paragraph" w:styleId="TOC1">
    <w:name w:val="toc 1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user2">
    <w:name w:val="Колонтитулы (user)"/>
    <w:qFormat/>
    <w:pPr>
      <w:widowControl/>
      <w:suppressAutoHyphens w:val="true"/>
      <w:bidi w:val="0"/>
      <w:spacing w:lineRule="auto" w:line="360" w:before="0" w:after="0"/>
      <w:ind w:hanging="0" w:left="0" w:right="0"/>
      <w:jc w:val="left"/>
    </w:pPr>
    <w:rPr>
      <w:rFonts w:ascii="XO Thames" w:hAnsi="XO Thames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BodyTextIndent21">
    <w:name w:val="Body Text Indent 21"/>
    <w:basedOn w:val="Normal"/>
    <w:link w:val="BodyTextIndent2"/>
    <w:qFormat/>
    <w:pPr>
      <w:ind w:firstLine="1276"/>
      <w:jc w:val="both"/>
    </w:pPr>
    <w:rPr/>
  </w:style>
  <w:style w:type="paragraph" w:styleId="BodyTextIndent">
    <w:name w:val="Body Text Indent"/>
    <w:basedOn w:val="Normal"/>
    <w:pPr>
      <w:ind w:firstLine="720"/>
      <w:jc w:val="both"/>
    </w:pPr>
    <w:rPr/>
  </w:style>
  <w:style w:type="paragraph" w:styleId="TOC9">
    <w:name w:val="toc 9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6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8">
    <w:name w:val="toc 8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14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OC5">
    <w:name w:val="toc 5"/>
    <w:next w:val="Normal"/>
    <w:uiPriority w:val="39"/>
    <w:pPr>
      <w:widowControl/>
      <w:suppressAutoHyphens w:val="true"/>
      <w:bidi w:val="0"/>
      <w:spacing w:lineRule="auto" w:line="240" w:before="0" w:after="0"/>
      <w:ind w:hanging="0" w:left="8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Subtitle">
    <w:name w:val="Subtitle"/>
    <w:next w:val="Normal"/>
    <w:uiPriority w:val="11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1"/>
    <w:next w:val="Normal"/>
    <w:link w:val="toc10"/>
    <w:uiPriority w:val="39"/>
    <w:qFormat/>
    <w:pPr>
      <w:widowControl/>
      <w:suppressAutoHyphens w:val="true"/>
      <w:bidi w:val="0"/>
      <w:spacing w:lineRule="auto" w:line="240" w:before="0" w:after="0"/>
      <w:ind w:hanging="0" w:left="1800" w:right="0"/>
      <w:jc w:val="left"/>
    </w:pPr>
    <w:rPr>
      <w:rFonts w:ascii="Times New Roman" w:hAnsi="Times New Roman" w:eastAsia="NSimSun" w:cs="Arial"/>
      <w:color w:val="000000"/>
      <w:spacing w:val="0"/>
      <w:kern w:val="0"/>
      <w:sz w:val="20"/>
      <w:szCs w:val="20"/>
      <w:lang w:val="ru-RU" w:eastAsia="zh-CN" w:bidi="hi-IN"/>
    </w:rPr>
  </w:style>
  <w:style w:type="paragraph" w:styleId="Title">
    <w:name w:val="Title"/>
    <w:next w:val="Normal"/>
    <w:uiPriority w:val="10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Arial"/>
      <w:b/>
      <w:color w:val="000000"/>
      <w:spacing w:val="0"/>
      <w:kern w:val="0"/>
      <w:sz w:val="52"/>
      <w:szCs w:val="20"/>
      <w:lang w:val="ru-RU" w:eastAsia="zh-CN" w:bidi="hi-IN"/>
    </w:rPr>
  </w:style>
  <w:style w:type="table" w:default="1" w:styleId="Style_4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 pitchFamily="0" charset="1"/>
        <a:ea typeface=""/>
        <a:cs typeface=""/>
      </a:majorFont>
      <a:minorFont>
        <a:latin typeface="XO Thames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 l="0" t="0" r="0" b="0"/>
        </a:gradFill>
      </a:fillStyleLst>
      <a:lnStyleLst>
        <a:ln w="0"/>
        <a:ln w="0"/>
        <a:ln w="0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C3C7590BD59D4B8E4C40B070D889A4" ma:contentTypeVersion="0" ma:contentTypeDescription="Создание документа." ma:contentTypeScope="" ma:versionID="5b2bacdcd637c499c94a8b9d7028adb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796D88B-3166-4D57-A617-3A92A17B3A4B}"/>
</file>

<file path=customXml/itemProps2.xml><?xml version="1.0" encoding="utf-8"?>
<ds:datastoreItem xmlns:ds="http://schemas.openxmlformats.org/officeDocument/2006/customXml" ds:itemID="{78B44DF5-56BC-49D8-AD12-B734A68CC9CD}"/>
</file>

<file path=customXml/itemProps3.xml><?xml version="1.0" encoding="utf-8"?>
<ds:datastoreItem xmlns:ds="http://schemas.openxmlformats.org/officeDocument/2006/customXml" ds:itemID="{0D5FF6EA-ED2A-4917-9039-8DE87533475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LibreOffice/26.2.0.3$Windows_X86_64 LibreOffice_project/620$Build-3</Application>
  <AppVersion>15.0000</AppVersion>
  <Pages>2</Pages>
  <Words>900</Words>
  <Characters>8230</Characters>
  <CharactersWithSpaces>9106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2026-06-02T15:39:05Z</cp:lastPrinted>
  <dcterms:modified xsi:type="dcterms:W3CDTF">2026-06-02T15:39:53Z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0x01010012C3C7590BD59D4B8E4C40B070D889A4</vt:lpwstr>
  </property>
</Properties>
</file>