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4FC459188A2F44899D9BEE9EB2EC02" ma:contentTypeVersion="0" ma:contentTypeDescription="Создание документа." ma:contentTypeScope="" ma:versionID="d8693ae6669653d578e057cb24328df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8B67B7-C187-47D5-8EC8-FF5777DEC995}"/>
</file>

<file path=customXml/itemProps2.xml><?xml version="1.0" encoding="utf-8"?>
<ds:datastoreItem xmlns:ds="http://schemas.openxmlformats.org/officeDocument/2006/customXml" ds:itemID="{ADB7CE08-2555-47F2-91D7-64D0B6F2A256}"/>
</file>

<file path=customXml/itemProps3.xml><?xml version="1.0" encoding="utf-8"?>
<ds:datastoreItem xmlns:ds="http://schemas.openxmlformats.org/officeDocument/2006/customXml" ds:itemID="{534AC47B-9388-4060-9C15-5305F8392345}"/>
</file>

<file path=customXml/itemProps4.xml><?xml version="1.0" encoding="utf-8"?>
<ds:datastoreItem xmlns:ds="http://schemas.openxmlformats.org/officeDocument/2006/customXml" ds:itemID="{A427E59D-E667-45F3-983E-81F4A7B90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0x010100C54FC459188A2F44899D9BEE9EB2EC02</vt:lpwstr>
  </property>
</Properties>
</file>