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EC7576" w14:textId="77777777" w:rsidR="001A206B" w:rsidRDefault="00584FB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52"/>
          <w:szCs w:val="52"/>
        </w:rPr>
      </w:pPr>
      <w:r w:rsidRPr="00584FB3">
        <w:rPr>
          <w:rFonts w:ascii="Calibri" w:hAnsi="Calibri"/>
          <w:noProof/>
          <w:position w:val="0"/>
        </w:rPr>
        <w:drawing>
          <wp:inline distT="0" distB="0" distL="0" distR="0" wp14:anchorId="2E3C10F8" wp14:editId="5163D608">
            <wp:extent cx="3556635" cy="1371600"/>
            <wp:effectExtent l="0" t="0" r="5715" b="0"/>
            <wp:docPr id="2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556635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632A8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07633DD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0548D8F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56B876D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7DB3DA49" w14:textId="6600AE59" w:rsidR="001A206B" w:rsidRDefault="00F6601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48"/>
          <w:szCs w:val="48"/>
        </w:rPr>
      </w:pPr>
      <w:r>
        <w:rPr>
          <w:rFonts w:eastAsia="Times New Roman" w:cs="Times New Roman"/>
          <w:color w:val="000000"/>
          <w:sz w:val="48"/>
          <w:szCs w:val="48"/>
        </w:rPr>
        <w:t>Инструкция по охране труда</w:t>
      </w:r>
    </w:p>
    <w:p w14:paraId="77CA2DF5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2252118F" w14:textId="11852803" w:rsidR="00004270" w:rsidRDefault="00F26301" w:rsidP="000042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40"/>
          <w:szCs w:val="40"/>
        </w:rPr>
      </w:pPr>
      <w:r>
        <w:rPr>
          <w:rFonts w:eastAsia="Times New Roman" w:cs="Times New Roman"/>
          <w:color w:val="000000"/>
          <w:sz w:val="40"/>
          <w:szCs w:val="40"/>
        </w:rPr>
        <w:t>компетенции</w:t>
      </w:r>
      <w:r w:rsidR="00004270">
        <w:rPr>
          <w:rFonts w:eastAsia="Times New Roman" w:cs="Times New Roman"/>
          <w:color w:val="000000"/>
          <w:sz w:val="40"/>
          <w:szCs w:val="40"/>
        </w:rPr>
        <w:t xml:space="preserve"> «</w:t>
      </w:r>
      <w:r w:rsidR="00CD6AFA">
        <w:rPr>
          <w:rFonts w:eastAsia="Times New Roman" w:cs="Times New Roman"/>
          <w:color w:val="000000"/>
          <w:sz w:val="40"/>
          <w:szCs w:val="40"/>
        </w:rPr>
        <w:t>Д</w:t>
      </w:r>
      <w:r w:rsidR="00CF4F84">
        <w:rPr>
          <w:rFonts w:eastAsia="Times New Roman" w:cs="Times New Roman"/>
          <w:color w:val="000000"/>
          <w:sz w:val="40"/>
          <w:szCs w:val="40"/>
        </w:rPr>
        <w:t>изайн интерьера</w:t>
      </w:r>
      <w:r w:rsidR="00721165">
        <w:rPr>
          <w:rFonts w:eastAsia="Times New Roman" w:cs="Times New Roman"/>
          <w:color w:val="000000"/>
          <w:sz w:val="40"/>
          <w:szCs w:val="40"/>
        </w:rPr>
        <w:t>»</w:t>
      </w:r>
    </w:p>
    <w:p w14:paraId="417850AC" w14:textId="5BAEE825" w:rsidR="00584FB3" w:rsidRDefault="003864CB" w:rsidP="000042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36"/>
          <w:szCs w:val="36"/>
        </w:rPr>
      </w:pPr>
      <w:r w:rsidRPr="003864CB">
        <w:rPr>
          <w:rFonts w:eastAsia="Times New Roman" w:cs="Times New Roman"/>
          <w:color w:val="000000"/>
          <w:sz w:val="36"/>
          <w:szCs w:val="36"/>
        </w:rPr>
        <w:t>Регионального этапа</w:t>
      </w:r>
      <w:r w:rsidR="00584FB3" w:rsidRPr="00004270">
        <w:rPr>
          <w:rFonts w:eastAsia="Times New Roman" w:cs="Times New Roman"/>
          <w:color w:val="000000"/>
          <w:sz w:val="36"/>
          <w:szCs w:val="36"/>
        </w:rPr>
        <w:t xml:space="preserve"> </w:t>
      </w:r>
      <w:r w:rsidR="00584FB3" w:rsidRPr="00584FB3">
        <w:rPr>
          <w:rFonts w:eastAsia="Times New Roman" w:cs="Times New Roman"/>
          <w:color w:val="000000"/>
          <w:sz w:val="36"/>
          <w:szCs w:val="36"/>
        </w:rPr>
        <w:t xml:space="preserve">Чемпионата по профессиональному мастерству «Профессионалы» </w:t>
      </w:r>
    </w:p>
    <w:p w14:paraId="65F84C6D" w14:textId="0D99D808" w:rsidR="00A74F0F" w:rsidRPr="00721165" w:rsidRDefault="003864CB" w:rsidP="000042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36"/>
          <w:szCs w:val="36"/>
          <w:u w:val="single"/>
        </w:rPr>
      </w:pPr>
      <w:r>
        <w:rPr>
          <w:rFonts w:eastAsia="Times New Roman" w:cs="Times New Roman"/>
          <w:color w:val="000000"/>
          <w:sz w:val="36"/>
          <w:szCs w:val="36"/>
          <w:u w:val="single"/>
        </w:rPr>
        <w:t>Республики Марий Эл</w:t>
      </w:r>
    </w:p>
    <w:p w14:paraId="1FC4022E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D9451D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E136DC1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A66731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75AC58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058830A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EA7FCE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D9E4E2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D295AB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68A77A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91BF7E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101933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47A41A1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134BFB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2FAB9DA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5CB14A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AE3815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4E4BA9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5D64B15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90B288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C1E192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</w:p>
    <w:p w14:paraId="49B7FF21" w14:textId="260B56B1" w:rsidR="001A206B" w:rsidRDefault="00A74F0F" w:rsidP="000042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202</w:t>
      </w:r>
      <w:r w:rsidR="003864CB">
        <w:rPr>
          <w:rFonts w:eastAsia="Times New Roman" w:cs="Times New Roman"/>
          <w:color w:val="000000"/>
        </w:rPr>
        <w:t xml:space="preserve">6 </w:t>
      </w:r>
      <w:r w:rsidR="00004270">
        <w:rPr>
          <w:rFonts w:eastAsia="Times New Roman" w:cs="Times New Roman"/>
          <w:color w:val="000000"/>
        </w:rPr>
        <w:t>г.</w:t>
      </w:r>
    </w:p>
    <w:p w14:paraId="32C3688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0D8E178E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F2A568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645B4B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2B326AC8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48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lastRenderedPageBreak/>
        <w:t>Содержание</w:t>
      </w:r>
    </w:p>
    <w:sdt>
      <w:sdtPr>
        <w:id w:val="-1803526934"/>
        <w:docPartObj>
          <w:docPartGallery w:val="Table of Contents"/>
          <w:docPartUnique/>
        </w:docPartObj>
      </w:sdtPr>
      <w:sdtEndPr/>
      <w:sdtContent>
        <w:p w14:paraId="48374B21" w14:textId="77777777" w:rsidR="001A206B" w:rsidRDefault="00A8114D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r>
            <w:fldChar w:fldCharType="begin"/>
          </w:r>
          <w:r>
            <w:instrText xml:space="preserve"> TOC \h \u \z </w:instrText>
          </w:r>
          <w:r>
            <w:fldChar w:fldCharType="separate"/>
          </w:r>
          <w:hyperlink w:anchor="_heading=h.30j0zll" w:tooltip="#_heading=h.30j0zll" w:history="1">
            <w:r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1. Область применения</w:t>
            </w:r>
          </w:hyperlink>
          <w:hyperlink w:anchor="_heading=h.30j0zll" w:tooltip="#_heading=h.30j0zll" w:history="1">
            <w:r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0C4A0DFA" w14:textId="77777777" w:rsidR="001A206B" w:rsidRDefault="00592DEA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1fob9te" w:tooltip="#_heading=h.1fob9te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2. Нормативные ссылки</w:t>
            </w:r>
          </w:hyperlink>
          <w:hyperlink w:anchor="_heading=h.1fob9te" w:tooltip="#_heading=h.1fob9te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1006F342" w14:textId="77777777" w:rsidR="001A206B" w:rsidRDefault="00592DEA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2et92p0" w:tooltip="#_heading=h.2et92p0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3. Общие требования охраны труда</w:t>
            </w:r>
          </w:hyperlink>
          <w:hyperlink w:anchor="_heading=h.2et92p0" w:tooltip="#_heading=h.2et92p0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75AEF0BB" w14:textId="77777777" w:rsidR="001A206B" w:rsidRDefault="00592DEA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tyjcwt" w:tooltip="#_heading=h.tyjcwt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4. Требования охраны труда перед началом работы</w:t>
            </w:r>
          </w:hyperlink>
          <w:hyperlink w:anchor="_heading=h.tyjcwt" w:tooltip="#_heading=h.tyjcwt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6</w:t>
            </w:r>
          </w:hyperlink>
        </w:p>
        <w:p w14:paraId="53563A42" w14:textId="77777777" w:rsidR="001A206B" w:rsidRDefault="00592DEA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3dy6vkm" w:tooltip="#_heading=h.3dy6vkm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5. Требования охраны труда во время работы</w:t>
            </w:r>
          </w:hyperlink>
          <w:hyperlink w:anchor="_heading=h.3dy6vkm" w:tooltip="#_heading=h.3dy6vkm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7</w:t>
            </w:r>
          </w:hyperlink>
        </w:p>
        <w:p w14:paraId="2E05C76D" w14:textId="77777777" w:rsidR="001A206B" w:rsidRDefault="00592DEA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1t3h5sf" w:tooltip="#_heading=h.1t3h5sf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6. Требования охраны труда в аварийных ситуациях</w:t>
            </w:r>
          </w:hyperlink>
          <w:hyperlink w:anchor="_heading=h.1t3h5sf" w:tooltip="#_heading=h.1t3h5sf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9</w:t>
            </w:r>
          </w:hyperlink>
        </w:p>
        <w:p w14:paraId="2EC06515" w14:textId="77777777" w:rsidR="001A206B" w:rsidRDefault="00592DEA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4d34og8" w:tooltip="#_heading=h.4d34og8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7. Требования охраны труда по окончании работы</w:t>
            </w:r>
          </w:hyperlink>
          <w:hyperlink w:anchor="_heading=h.4d34og8" w:tooltip="#_heading=h.4d34og8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10</w:t>
            </w:r>
          </w:hyperlink>
          <w:r w:rsidR="00A8114D">
            <w:fldChar w:fldCharType="end"/>
          </w:r>
        </w:p>
      </w:sdtContent>
    </w:sdt>
    <w:p w14:paraId="25F2B13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rPr>
          <w:rFonts w:eastAsia="Times New Roman" w:cs="Times New Roman"/>
          <w:color w:val="000000"/>
        </w:rPr>
      </w:pPr>
    </w:p>
    <w:p w14:paraId="6A857BF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</w:p>
    <w:p w14:paraId="1DF1D60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1AB8FF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0DBF125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630112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2D0F458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DEA708E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5ECD9BD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A6A25EA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53D5E51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E58413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ACB85A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0CD2E5AF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1C21CC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ED6CC97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173B5F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F17A667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957C51D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731C19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ADC0EA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72AE5DF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3C1879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27C3F3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3920F20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0" w:name="_heading=h.gjdgxs"/>
      <w:bookmarkEnd w:id="0"/>
      <w:r>
        <w:br w:type="page" w:clear="all"/>
      </w:r>
    </w:p>
    <w:p w14:paraId="055B18EB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1" w:name="_heading=h.30j0zll"/>
      <w:bookmarkEnd w:id="1"/>
      <w:r>
        <w:rPr>
          <w:rFonts w:eastAsia="Times New Roman" w:cs="Times New Roman"/>
          <w:b/>
          <w:color w:val="000000"/>
          <w:sz w:val="28"/>
          <w:szCs w:val="28"/>
        </w:rPr>
        <w:lastRenderedPageBreak/>
        <w:t>1. Область применения</w:t>
      </w:r>
    </w:p>
    <w:p w14:paraId="7769AE0C" w14:textId="7ED6B8D6" w:rsidR="00C025DD" w:rsidRDefault="00C025DD" w:rsidP="00C025D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2" w:name="_heading=h.1fob9te"/>
      <w:bookmarkEnd w:id="2"/>
      <w:r>
        <w:rPr>
          <w:rFonts w:eastAsia="Times New Roman" w:cs="Times New Roman"/>
          <w:color w:val="000000"/>
          <w:sz w:val="28"/>
          <w:szCs w:val="28"/>
        </w:rPr>
        <w:t xml:space="preserve">1.1 Настоящие правила разработаны на основе типовой инструкции по охране труда с учетом требований законодательных и иных нормативных правовых актов, содержащих государственные требования охраны труда, правил по охране труда и предназначена для участников </w:t>
      </w:r>
      <w:r w:rsidR="003864CB">
        <w:rPr>
          <w:rFonts w:eastAsia="Times New Roman" w:cs="Times New Roman"/>
          <w:color w:val="000000"/>
          <w:sz w:val="28"/>
          <w:szCs w:val="28"/>
        </w:rPr>
        <w:t>Регионального этапа</w:t>
      </w:r>
      <w:r>
        <w:rPr>
          <w:rFonts w:eastAsia="Times New Roman" w:cs="Times New Roman"/>
          <w:color w:val="000000"/>
          <w:sz w:val="28"/>
          <w:szCs w:val="28"/>
        </w:rPr>
        <w:t xml:space="preserve"> Чемпионата по профессиональному мастерству «Профессионалы»</w:t>
      </w:r>
      <w:r w:rsidR="003864CB">
        <w:rPr>
          <w:rFonts w:eastAsia="Times New Roman" w:cs="Times New Roman"/>
          <w:color w:val="000000"/>
          <w:sz w:val="28"/>
          <w:szCs w:val="28"/>
        </w:rPr>
        <w:t xml:space="preserve"> Республики Марий Эл</w:t>
      </w:r>
      <w:r>
        <w:rPr>
          <w:rFonts w:eastAsia="Times New Roman" w:cs="Times New Roman"/>
          <w:color w:val="000000"/>
          <w:sz w:val="28"/>
          <w:szCs w:val="28"/>
        </w:rPr>
        <w:t xml:space="preserve"> в 202</w:t>
      </w:r>
      <w:r w:rsidR="003864CB">
        <w:rPr>
          <w:rFonts w:eastAsia="Times New Roman" w:cs="Times New Roman"/>
          <w:color w:val="000000"/>
          <w:sz w:val="28"/>
          <w:szCs w:val="28"/>
        </w:rPr>
        <w:t>6</w:t>
      </w:r>
      <w:r>
        <w:rPr>
          <w:rFonts w:eastAsia="Times New Roman" w:cs="Times New Roman"/>
          <w:color w:val="000000"/>
          <w:sz w:val="28"/>
          <w:szCs w:val="28"/>
        </w:rPr>
        <w:t xml:space="preserve"> г. (далее Чемпионата).</w:t>
      </w:r>
    </w:p>
    <w:p w14:paraId="2C46F97F" w14:textId="0EAF8CD5" w:rsidR="00C025DD" w:rsidRDefault="00C025DD" w:rsidP="00C025D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1.2 Выполнение требований настоящих правил обязательны для всех участников </w:t>
      </w:r>
      <w:r w:rsidR="003864CB">
        <w:rPr>
          <w:rFonts w:eastAsia="Times New Roman" w:cs="Times New Roman"/>
          <w:color w:val="000000"/>
          <w:sz w:val="28"/>
          <w:szCs w:val="28"/>
        </w:rPr>
        <w:t>Регионального этапа</w:t>
      </w:r>
      <w:r w:rsidRPr="009269AB">
        <w:rPr>
          <w:rFonts w:eastAsia="Times New Roman" w:cs="Times New Roman"/>
          <w:color w:val="000000"/>
          <w:sz w:val="28"/>
          <w:szCs w:val="28"/>
        </w:rPr>
        <w:t xml:space="preserve"> </w:t>
      </w:r>
      <w:r w:rsidRPr="00584FB3">
        <w:rPr>
          <w:rFonts w:eastAsia="Times New Roman" w:cs="Times New Roman"/>
          <w:color w:val="000000"/>
          <w:sz w:val="28"/>
          <w:szCs w:val="28"/>
        </w:rPr>
        <w:t xml:space="preserve">Чемпионата по профессиональному мастерству «Профессионалы» </w:t>
      </w:r>
      <w:r w:rsidR="003864CB">
        <w:rPr>
          <w:rFonts w:eastAsia="Times New Roman" w:cs="Times New Roman"/>
          <w:color w:val="000000"/>
          <w:sz w:val="28"/>
          <w:szCs w:val="28"/>
        </w:rPr>
        <w:t xml:space="preserve">Республики Марий Эл </w:t>
      </w:r>
      <w:r w:rsidRPr="00584FB3">
        <w:rPr>
          <w:rFonts w:eastAsia="Times New Roman" w:cs="Times New Roman"/>
          <w:color w:val="000000"/>
          <w:sz w:val="28"/>
          <w:szCs w:val="28"/>
        </w:rPr>
        <w:t>в 20</w:t>
      </w:r>
      <w:r>
        <w:rPr>
          <w:rFonts w:eastAsia="Times New Roman" w:cs="Times New Roman"/>
          <w:color w:val="000000"/>
          <w:sz w:val="28"/>
          <w:szCs w:val="28"/>
        </w:rPr>
        <w:t>2</w:t>
      </w:r>
      <w:r w:rsidR="003864CB">
        <w:rPr>
          <w:rFonts w:eastAsia="Times New Roman" w:cs="Times New Roman"/>
          <w:color w:val="000000"/>
          <w:sz w:val="28"/>
          <w:szCs w:val="28"/>
        </w:rPr>
        <w:t>6</w:t>
      </w:r>
      <w:r w:rsidRPr="00584FB3">
        <w:rPr>
          <w:rFonts w:eastAsia="Times New Roman" w:cs="Times New Roman"/>
          <w:color w:val="000000"/>
          <w:sz w:val="28"/>
          <w:szCs w:val="28"/>
        </w:rPr>
        <w:t xml:space="preserve"> г. </w:t>
      </w:r>
      <w:r w:rsidR="00CF4F84">
        <w:rPr>
          <w:rFonts w:eastAsia="Times New Roman" w:cs="Times New Roman"/>
          <w:color w:val="000000"/>
          <w:sz w:val="28"/>
          <w:szCs w:val="28"/>
        </w:rPr>
        <w:t>компетенции «</w:t>
      </w:r>
      <w:r w:rsidR="00CD6AFA">
        <w:rPr>
          <w:rFonts w:eastAsia="Times New Roman" w:cs="Times New Roman"/>
          <w:color w:val="000000"/>
          <w:sz w:val="28"/>
          <w:szCs w:val="28"/>
        </w:rPr>
        <w:t>Д</w:t>
      </w:r>
      <w:r w:rsidR="00CF4F84">
        <w:rPr>
          <w:rFonts w:eastAsia="Times New Roman" w:cs="Times New Roman"/>
          <w:color w:val="000000"/>
          <w:sz w:val="28"/>
          <w:szCs w:val="28"/>
        </w:rPr>
        <w:t>изайн интерьера</w:t>
      </w:r>
      <w:r>
        <w:rPr>
          <w:rFonts w:eastAsia="Times New Roman" w:cs="Times New Roman"/>
          <w:color w:val="000000"/>
          <w:sz w:val="28"/>
          <w:szCs w:val="28"/>
        </w:rPr>
        <w:t xml:space="preserve">». </w:t>
      </w:r>
    </w:p>
    <w:p w14:paraId="6DF08F2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color w:val="000000"/>
          <w:sz w:val="28"/>
          <w:szCs w:val="28"/>
        </w:rPr>
      </w:pPr>
    </w:p>
    <w:p w14:paraId="40B03537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2. Нормативные ссылки</w:t>
      </w:r>
    </w:p>
    <w:p w14:paraId="42F6506D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 Правила разработаны на основании следующих документов и источников:</w:t>
      </w:r>
    </w:p>
    <w:p w14:paraId="7E785071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2.1.1 Трудовой кодекс Российской Федерации от 30.12.2001 № 197-ФЗ.</w:t>
      </w:r>
    </w:p>
    <w:p w14:paraId="3613F6B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28"/>
          <w:szCs w:val="28"/>
        </w:rPr>
      </w:pPr>
    </w:p>
    <w:p w14:paraId="36EB8BCA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3" w:name="_heading=h.2et92p0"/>
      <w:bookmarkEnd w:id="3"/>
      <w:r>
        <w:rPr>
          <w:rFonts w:eastAsia="Times New Roman" w:cs="Times New Roman"/>
          <w:b/>
          <w:color w:val="000000"/>
          <w:sz w:val="28"/>
          <w:szCs w:val="28"/>
        </w:rPr>
        <w:t>3. Общие требования охраны труда</w:t>
      </w:r>
    </w:p>
    <w:p w14:paraId="055E93A9" w14:textId="3989AEBF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3.1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К выполнению конкурсного задания по компетенции «</w:t>
      </w:r>
      <w:r w:rsidR="00CF4F84">
        <w:rPr>
          <w:rFonts w:eastAsia="Times New Roman" w:cs="Times New Roman"/>
          <w:color w:val="000000"/>
          <w:sz w:val="28"/>
          <w:szCs w:val="28"/>
        </w:rPr>
        <w:t>дизайн интерьера</w:t>
      </w:r>
      <w:r>
        <w:rPr>
          <w:rFonts w:eastAsia="Times New Roman" w:cs="Times New Roman"/>
          <w:color w:val="000000"/>
          <w:sz w:val="28"/>
          <w:szCs w:val="28"/>
        </w:rPr>
        <w:t xml:space="preserve">» допускаются участники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, прошедшие вводный инструктаж по охране труда, инструктаж на рабочем месте, обучение и проверку знаний требований охраны труда, имеющие справку об обучении (или работе) в образовательной организации (или на производстве) по профессии </w:t>
      </w:r>
      <w:r w:rsidR="00CF4F84">
        <w:rPr>
          <w:rFonts w:eastAsia="Times New Roman" w:cs="Times New Roman"/>
          <w:color w:val="000000"/>
          <w:sz w:val="28"/>
          <w:szCs w:val="28"/>
        </w:rPr>
        <w:t>дизайнер по отрослям</w:t>
      </w:r>
      <w:r>
        <w:rPr>
          <w:rFonts w:eastAsia="Times New Roman" w:cs="Times New Roman"/>
          <w:color w:val="000000"/>
          <w:sz w:val="28"/>
          <w:szCs w:val="28"/>
        </w:rPr>
        <w:t xml:space="preserve">, </w:t>
      </w:r>
      <w:r w:rsidR="009269AB">
        <w:rPr>
          <w:rFonts w:eastAsia="Times New Roman" w:cs="Times New Roman"/>
          <w:color w:val="000000"/>
          <w:sz w:val="28"/>
          <w:szCs w:val="28"/>
        </w:rPr>
        <w:t xml:space="preserve">ознакомленные с инструкцией по охране труда, не имеющие противопоказаний к выполнению заданий по состоянию здоровья </w:t>
      </w:r>
      <w:r>
        <w:rPr>
          <w:rFonts w:eastAsia="Times New Roman" w:cs="Times New Roman"/>
          <w:color w:val="000000"/>
          <w:sz w:val="28"/>
          <w:szCs w:val="28"/>
        </w:rPr>
        <w:t>и имеющие необходимые навыки по эксплуатации инструмента, приспособлений и оборудования.</w:t>
      </w:r>
    </w:p>
    <w:p w14:paraId="1853749E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3.2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Участник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 обязан:</w:t>
      </w:r>
    </w:p>
    <w:p w14:paraId="54AD8A0B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3.2.1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Выполнять только ту работу, которая определена его ролью на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Чемпионате</w:t>
      </w:r>
      <w:r>
        <w:rPr>
          <w:rFonts w:eastAsia="Times New Roman" w:cs="Times New Roman"/>
          <w:color w:val="000000"/>
          <w:sz w:val="28"/>
          <w:szCs w:val="28"/>
        </w:rPr>
        <w:t>.</w:t>
      </w:r>
    </w:p>
    <w:p w14:paraId="2095AE20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3.2.2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Правильно применять средства индивидуальной и коллективной защиты.</w:t>
      </w:r>
    </w:p>
    <w:p w14:paraId="2945CB35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lastRenderedPageBreak/>
        <w:t>3.3.3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Соблюдать требования охраны труда.</w:t>
      </w:r>
    </w:p>
    <w:p w14:paraId="759171F7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3.3.4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Немедленно извещать экспертов о любой ситуации, угрожающей жизни и здоровью участников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, о каждом несчастном случае, происшедшем на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Чемпионате</w:t>
      </w:r>
      <w:r>
        <w:rPr>
          <w:rFonts w:eastAsia="Times New Roman" w:cs="Times New Roman"/>
          <w:color w:val="000000"/>
          <w:sz w:val="28"/>
          <w:szCs w:val="28"/>
        </w:rPr>
        <w:t>,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14:paraId="67CDF608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3.3.5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Применять безопасные методы и приёмы выполнения работ и оказания первой помощи, инструктаж по охране труда.</w:t>
      </w:r>
    </w:p>
    <w:p w14:paraId="636480EC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выполнении работ на участника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 возможны воздействия следующих опасных и вредных производственных факторов:</w:t>
      </w:r>
    </w:p>
    <w:p w14:paraId="21B2CCC8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поражение электрическим током;</w:t>
      </w:r>
    </w:p>
    <w:p w14:paraId="6366CF79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загазованность воздуха рабочей зоны, наличие в воздухе рабочей зоны вредных аэрозолей;</w:t>
      </w:r>
    </w:p>
    <w:p w14:paraId="7A324559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или пониженная температура воздуха рабочей зоны;</w:t>
      </w:r>
    </w:p>
    <w:p w14:paraId="759B52DA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температура обрабатываемого материала, изделий, наружной поверхности оборудования и внутренней поверхности замкнутых пространств, расплавленный металл;</w:t>
      </w:r>
    </w:p>
    <w:p w14:paraId="62C66835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ультрафиолетовое и инфракрасное излучение;</w:t>
      </w:r>
    </w:p>
    <w:p w14:paraId="7098B28F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яркость света при осуществлении процесса сварки;</w:t>
      </w:r>
    </w:p>
    <w:p w14:paraId="2D071B13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повышенные уровни шума и вибрации на рабочих местах;</w:t>
      </w:r>
    </w:p>
    <w:p w14:paraId="04A67CF3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физические и нервно-психические перегрузки;</w:t>
      </w:r>
    </w:p>
    <w:p w14:paraId="02142FFA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падающие предметы (элементы оборудования) и инструмент.</w:t>
      </w:r>
    </w:p>
    <w:p w14:paraId="5B81380D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3.4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Все участники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 (эксперты и конкурсанты) должны находиться на площадке в спецодежде, спецобуви и применять средства индивидуальной защиты:</w:t>
      </w:r>
    </w:p>
    <w:p w14:paraId="07502757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3.5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Участникам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 необходимо знать и соблюдать требования по охране труда, пожарной безопасности, производственной санитарии.</w:t>
      </w:r>
    </w:p>
    <w:p w14:paraId="2901EC34" w14:textId="77777777" w:rsidR="001A206B" w:rsidRDefault="009269A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3.6</w:t>
      </w:r>
      <w:r w:rsidR="00A8114D">
        <w:rPr>
          <w:rFonts w:eastAsia="Times New Roman" w:cs="Times New Roman"/>
          <w:color w:val="000000"/>
          <w:sz w:val="28"/>
          <w:szCs w:val="28"/>
        </w:rPr>
        <w:t xml:space="preserve">. Конкурсные работы должны проводиться в соответствии с технической документацией задания </w:t>
      </w:r>
      <w:r>
        <w:rPr>
          <w:rFonts w:eastAsia="Times New Roman" w:cs="Times New Roman"/>
          <w:color w:val="000000"/>
          <w:sz w:val="28"/>
          <w:szCs w:val="28"/>
        </w:rPr>
        <w:t>Чемпионата</w:t>
      </w:r>
      <w:r w:rsidR="00A8114D">
        <w:rPr>
          <w:rFonts w:eastAsia="Times New Roman" w:cs="Times New Roman"/>
          <w:color w:val="000000"/>
          <w:sz w:val="28"/>
          <w:szCs w:val="28"/>
        </w:rPr>
        <w:t>.</w:t>
      </w:r>
    </w:p>
    <w:p w14:paraId="49CF5830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</w:t>
      </w:r>
      <w:r w:rsidR="009269AB">
        <w:rPr>
          <w:rFonts w:eastAsia="Times New Roman" w:cs="Times New Roman"/>
          <w:color w:val="000000"/>
          <w:sz w:val="28"/>
          <w:szCs w:val="28"/>
        </w:rPr>
        <w:t>7</w:t>
      </w:r>
      <w:r>
        <w:rPr>
          <w:rFonts w:eastAsia="Times New Roman" w:cs="Times New Roman"/>
          <w:color w:val="000000"/>
          <w:sz w:val="28"/>
          <w:szCs w:val="28"/>
        </w:rPr>
        <w:t xml:space="preserve">. Участники обязаны соблюдать действующие на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Чемпионате</w:t>
      </w:r>
      <w:r>
        <w:rPr>
          <w:rFonts w:eastAsia="Times New Roman" w:cs="Times New Roman"/>
          <w:color w:val="000000"/>
          <w:sz w:val="28"/>
          <w:szCs w:val="28"/>
        </w:rPr>
        <w:t xml:space="preserve"> правила внутреннего распорядка и графики работы, которыми предусматриваются: время </w:t>
      </w:r>
      <w:r>
        <w:rPr>
          <w:rFonts w:eastAsia="Times New Roman" w:cs="Times New Roman"/>
          <w:color w:val="000000"/>
          <w:sz w:val="28"/>
          <w:szCs w:val="28"/>
        </w:rPr>
        <w:lastRenderedPageBreak/>
        <w:t xml:space="preserve">начала и окончания работы, перерывы для отдыха и питания и другие вопросы использования времени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. </w:t>
      </w:r>
    </w:p>
    <w:p w14:paraId="3277065A" w14:textId="77777777" w:rsidR="001A206B" w:rsidRDefault="009269A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3.8</w:t>
      </w:r>
      <w:r w:rsidR="00A8114D">
        <w:rPr>
          <w:rFonts w:eastAsia="Times New Roman" w:cs="Times New Roman"/>
          <w:color w:val="000000"/>
          <w:sz w:val="28"/>
          <w:szCs w:val="28"/>
        </w:rPr>
        <w:t>. В случаях травмирования или недомогания</w:t>
      </w:r>
      <w:r w:rsidR="00195C80">
        <w:rPr>
          <w:rFonts w:eastAsia="Times New Roman" w:cs="Times New Roman"/>
          <w:color w:val="000000"/>
          <w:sz w:val="28"/>
          <w:szCs w:val="28"/>
        </w:rPr>
        <w:t>,</w:t>
      </w:r>
      <w:r w:rsidR="00A8114D">
        <w:rPr>
          <w:rFonts w:eastAsia="Times New Roman" w:cs="Times New Roman"/>
          <w:color w:val="000000"/>
          <w:sz w:val="28"/>
          <w:szCs w:val="28"/>
        </w:rPr>
        <w:t xml:space="preserve"> необходимо прекратить работу, известить об этом экспертов и обратиться в медицинское учреждение.</w:t>
      </w:r>
    </w:p>
    <w:p w14:paraId="1B3B672A" w14:textId="77777777" w:rsidR="001A206B" w:rsidRDefault="009269A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3.9</w:t>
      </w:r>
      <w:r w:rsidR="00A8114D">
        <w:rPr>
          <w:rFonts w:eastAsia="Times New Roman" w:cs="Times New Roman"/>
          <w:color w:val="000000"/>
          <w:sz w:val="28"/>
          <w:szCs w:val="28"/>
        </w:rPr>
        <w:t>. Лица, не соблюдающие настоящие Правила, привлекаются к ответственности согласно действующему законодательству.</w:t>
      </w:r>
    </w:p>
    <w:p w14:paraId="50F18023" w14:textId="73C73296" w:rsidR="009269AB" w:rsidRDefault="009269A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3.10. Несоблюдение участником норм и правил </w:t>
      </w:r>
      <w:r w:rsidR="00F66017">
        <w:rPr>
          <w:rFonts w:eastAsia="Times New Roman" w:cs="Times New Roman"/>
          <w:color w:val="000000"/>
          <w:sz w:val="28"/>
          <w:szCs w:val="28"/>
        </w:rPr>
        <w:t>охраны труда</w:t>
      </w:r>
      <w:r>
        <w:rPr>
          <w:rFonts w:eastAsia="Times New Roman" w:cs="Times New Roman"/>
          <w:color w:val="000000"/>
          <w:sz w:val="28"/>
          <w:szCs w:val="28"/>
        </w:rPr>
        <w:t xml:space="preserve"> ведет к потере баллов. Постоянное нарушение норм безопасности может привести к временному или полному отстранению от участия в Чемпионате.</w:t>
      </w:r>
    </w:p>
    <w:p w14:paraId="5BCD9C4D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ind w:firstLine="709"/>
        <w:jc w:val="both"/>
        <w:rPr>
          <w:rFonts w:eastAsia="Times New Roman" w:cs="Times New Roman"/>
          <w:color w:val="000000"/>
        </w:rPr>
      </w:pPr>
      <w:bookmarkStart w:id="4" w:name="_heading=h.tyjcwt"/>
      <w:bookmarkEnd w:id="4"/>
    </w:p>
    <w:p w14:paraId="79F20ACA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4. Требования охраны труда перед началом работы</w:t>
      </w:r>
    </w:p>
    <w:p w14:paraId="5594D8E6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Перед началом выполнения работ конкурсант обязан:</w:t>
      </w:r>
    </w:p>
    <w:p w14:paraId="4A51D096" w14:textId="4444D480" w:rsidR="001A206B" w:rsidRDefault="00CF4F84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Проверить исправность электрических приборов,</w:t>
      </w:r>
    </w:p>
    <w:p w14:paraId="0DC7C7B3" w14:textId="1F990E5D" w:rsidR="00CF4F84" w:rsidRDefault="00CF4F84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Безопасность и исправность механических инструментов.</w:t>
      </w:r>
    </w:p>
    <w:p w14:paraId="3FBBECF3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4.2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Конкурсант не должны приступать к работе при следующих нарушениях требований безопасности:</w:t>
      </w:r>
    </w:p>
    <w:p w14:paraId="277DF3AE" w14:textId="403252B0" w:rsidR="001A206B" w:rsidRDefault="00CF4F84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На рабочем месте присутствуют оголённые провода питания компьютерной техники,</w:t>
      </w:r>
    </w:p>
    <w:p w14:paraId="6B5893FD" w14:textId="00E1F72D" w:rsidR="00CF4F84" w:rsidRDefault="00CF4F84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Отсутствуют силиконовые футляры для съёмных лезвий канцелярских ножей.</w:t>
      </w:r>
    </w:p>
    <w:p w14:paraId="25FA260A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4.3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Конкурсанту запрещается приступать к выполнению конкурсного задания при обнаружении неисправности инструмента или оборудования. О замеченных недостатках и неисправностях нужно немедленно сообщить техническому эксперту и до устранения неполадок к конкурсному заданию не приступать.</w:t>
      </w:r>
    </w:p>
    <w:p w14:paraId="08922095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5" w:name="_heading=h.3dy6vkm"/>
      <w:bookmarkEnd w:id="5"/>
    </w:p>
    <w:p w14:paraId="68F8AA86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 xml:space="preserve">5. Требования охраны труда во время </w:t>
      </w:r>
      <w:r w:rsidR="00195C80">
        <w:rPr>
          <w:rFonts w:eastAsia="Times New Roman" w:cs="Times New Roman"/>
          <w:b/>
          <w:color w:val="000000"/>
          <w:sz w:val="28"/>
          <w:szCs w:val="28"/>
        </w:rPr>
        <w:t>выполнения работ</w:t>
      </w:r>
    </w:p>
    <w:p w14:paraId="0F5AD18A" w14:textId="3C521893" w:rsidR="001A206B" w:rsidRDefault="00A8114D" w:rsidP="004873B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При выполнении конкурсных заданий конкурсанту необходимо соблюдать требования безопасности при использовании инструмента и оборудования.</w:t>
      </w:r>
    </w:p>
    <w:p w14:paraId="2A2550A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</w:rPr>
      </w:pPr>
      <w:bookmarkStart w:id="6" w:name="_heading=h.1t3h5sf"/>
      <w:bookmarkEnd w:id="6"/>
    </w:p>
    <w:p w14:paraId="749324D9" w14:textId="77777777" w:rsidR="001A206B" w:rsidRPr="00C006B0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 w:rsidRPr="00C006B0">
        <w:rPr>
          <w:rFonts w:eastAsia="Times New Roman" w:cs="Times New Roman"/>
          <w:b/>
          <w:color w:val="000000"/>
          <w:sz w:val="28"/>
          <w:szCs w:val="28"/>
        </w:rPr>
        <w:lastRenderedPageBreak/>
        <w:t xml:space="preserve">6. Требования охраны </w:t>
      </w:r>
      <w:r w:rsidR="00195C80" w:rsidRPr="00C006B0">
        <w:rPr>
          <w:rFonts w:eastAsia="Times New Roman" w:cs="Times New Roman"/>
          <w:b/>
          <w:color w:val="000000"/>
          <w:sz w:val="28"/>
          <w:szCs w:val="28"/>
        </w:rPr>
        <w:t xml:space="preserve">труда </w:t>
      </w:r>
      <w:r w:rsidRPr="00C006B0">
        <w:rPr>
          <w:rFonts w:eastAsia="Times New Roman" w:cs="Times New Roman"/>
          <w:b/>
          <w:color w:val="000000"/>
          <w:sz w:val="28"/>
          <w:szCs w:val="28"/>
        </w:rPr>
        <w:t>в аварийных ситуациях</w:t>
      </w:r>
    </w:p>
    <w:p w14:paraId="4BF99C68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возникновении аварий и ситуаций, которые могут привести к авариям и несчастным случаям, необходимо:</w:t>
      </w:r>
    </w:p>
    <w:p w14:paraId="41F21A1F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6.1.1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Немедленно прекратить работы и известить главного эксперта.</w:t>
      </w:r>
    </w:p>
    <w:p w14:paraId="7FE0F704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6.1.2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Под руководством технического эксперта оперативно принять меры по устранению причин аварий или ситуаций, которые могут привести к авариям или несчастным случаям.</w:t>
      </w:r>
    </w:p>
    <w:p w14:paraId="747159E6" w14:textId="3ECAE1D2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6.2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обнаружении в процессе работы </w:t>
      </w:r>
      <w:r w:rsidR="00F66017">
        <w:rPr>
          <w:rFonts w:eastAsia="Times New Roman" w:cs="Times New Roman"/>
          <w:color w:val="000000"/>
          <w:sz w:val="28"/>
          <w:szCs w:val="28"/>
        </w:rPr>
        <w:t xml:space="preserve">возгораний </w:t>
      </w:r>
      <w:r>
        <w:rPr>
          <w:rFonts w:eastAsia="Times New Roman" w:cs="Times New Roman"/>
          <w:color w:val="000000"/>
          <w:sz w:val="28"/>
          <w:szCs w:val="28"/>
        </w:rPr>
        <w:t>необходимо:</w:t>
      </w:r>
    </w:p>
    <w:p w14:paraId="3B92B9BA" w14:textId="67DD4714" w:rsidR="001A206B" w:rsidRDefault="00CF4F84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Направиться к пожарному выходу в организованном сопровождении.</w:t>
      </w:r>
    </w:p>
    <w:p w14:paraId="06EBE113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6.3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несчастном случае необходимо оказать пострадавшему первую помощь, при необходимости вызвать скорую медицинскую помощь по телефону 103 или 112 и сообщить о происшествии главному эксперту. </w:t>
      </w:r>
    </w:p>
    <w:p w14:paraId="22265AD7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6.5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В случае возникновения пожара:</w:t>
      </w:r>
    </w:p>
    <w:p w14:paraId="3477A1C7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6.5.1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Оповестить всех участников </w:t>
      </w:r>
      <w:r w:rsidR="00584FB3">
        <w:rPr>
          <w:rFonts w:eastAsia="Times New Roman" w:cs="Times New Roman"/>
          <w:color w:val="000000"/>
          <w:sz w:val="28"/>
          <w:szCs w:val="28"/>
        </w:rPr>
        <w:t>Финала</w:t>
      </w:r>
      <w:r>
        <w:rPr>
          <w:rFonts w:eastAsia="Times New Roman" w:cs="Times New Roman"/>
          <w:color w:val="000000"/>
          <w:sz w:val="28"/>
          <w:szCs w:val="28"/>
        </w:rPr>
        <w:t>, находящихся в производственном помещении и принять меры к тушению очага пожара. Горящие части электроустановок и электропроводку, находящиеся под напряжением, тушить углекислотным огнетушителем.</w:t>
      </w:r>
    </w:p>
    <w:p w14:paraId="6C86278E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6.5.2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Принять меры к вызову на место пожара непосредственного руководителя или других должностных лиц.</w:t>
      </w:r>
    </w:p>
    <w:p w14:paraId="71A871BD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6.6</w:t>
      </w:r>
      <w:r w:rsidR="00584FB3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обнаружении взрывоопасного или подозрительного предмета нельзя подходить к нему близко, необходимо предупредить о возможной опасности главного эксперта или других должностных лиц.</w:t>
      </w:r>
    </w:p>
    <w:p w14:paraId="662042F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7" w:name="_heading=h.4d34og8"/>
      <w:bookmarkEnd w:id="7"/>
    </w:p>
    <w:p w14:paraId="7EB4E4F3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 w:rsidRPr="00C006B0">
        <w:rPr>
          <w:rFonts w:eastAsia="Times New Roman" w:cs="Times New Roman"/>
          <w:b/>
          <w:color w:val="000000"/>
          <w:sz w:val="28"/>
          <w:szCs w:val="28"/>
        </w:rPr>
        <w:t>7. Требования охраны труда по окончании работы</w:t>
      </w:r>
    </w:p>
    <w:p w14:paraId="7CC03077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7.1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После окончания работ каждый конкурсант обязан:</w:t>
      </w:r>
    </w:p>
    <w:p w14:paraId="74103E89" w14:textId="77D4196A" w:rsidR="001A206B" w:rsidRDefault="00CF4F84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Убрать все острые инструменты в футляры и далее в пластиковые контейнеры для хранения инвентаря.</w:t>
      </w:r>
    </w:p>
    <w:sectPr w:rsidR="001A206B">
      <w:footerReference w:type="default" r:id="rId9"/>
      <w:footerReference w:type="first" r:id="rId10"/>
      <w:pgSz w:w="11906" w:h="16838"/>
      <w:pgMar w:top="851" w:right="567" w:bottom="851" w:left="1418" w:header="708" w:footer="708" w:gutter="0"/>
      <w:pgNumType w:start="1"/>
      <w:cols w:space="1701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FDE112" w14:textId="77777777" w:rsidR="00592DEA" w:rsidRDefault="00592DEA">
      <w:pPr>
        <w:spacing w:line="240" w:lineRule="auto"/>
      </w:pPr>
      <w:r>
        <w:separator/>
      </w:r>
    </w:p>
  </w:endnote>
  <w:endnote w:type="continuationSeparator" w:id="0">
    <w:p w14:paraId="6083FEE4" w14:textId="77777777" w:rsidR="00592DEA" w:rsidRDefault="00592DE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F29822" w14:textId="09E39B04" w:rsidR="001A206B" w:rsidRDefault="00A8114D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spacing w:line="240" w:lineRule="auto"/>
      <w:jc w:val="right"/>
      <w:rPr>
        <w:rFonts w:ascii="Calibri" w:hAnsi="Calibri"/>
        <w:color w:val="000000"/>
        <w:sz w:val="22"/>
        <w:szCs w:val="22"/>
      </w:rPr>
    </w:pPr>
    <w:r>
      <w:rPr>
        <w:rFonts w:ascii="Calibri" w:hAnsi="Calibri"/>
        <w:color w:val="000000"/>
        <w:sz w:val="22"/>
        <w:szCs w:val="22"/>
      </w:rPr>
      <w:fldChar w:fldCharType="begin"/>
    </w:r>
    <w:r>
      <w:rPr>
        <w:rFonts w:ascii="Calibri" w:hAnsi="Calibri"/>
        <w:color w:val="000000"/>
        <w:sz w:val="22"/>
        <w:szCs w:val="22"/>
      </w:rPr>
      <w:instrText>PAGE</w:instrText>
    </w:r>
    <w:r>
      <w:rPr>
        <w:rFonts w:ascii="Calibri" w:hAnsi="Calibri"/>
        <w:color w:val="000000"/>
        <w:sz w:val="22"/>
        <w:szCs w:val="22"/>
      </w:rPr>
      <w:fldChar w:fldCharType="separate"/>
    </w:r>
    <w:r w:rsidR="00CD6AFA">
      <w:rPr>
        <w:rFonts w:ascii="Calibri" w:hAnsi="Calibri"/>
        <w:noProof/>
        <w:color w:val="000000"/>
        <w:sz w:val="22"/>
        <w:szCs w:val="22"/>
      </w:rPr>
      <w:t>6</w:t>
    </w:r>
    <w:r>
      <w:rPr>
        <w:rFonts w:ascii="Calibri" w:hAnsi="Calibri"/>
        <w:color w:val="000000"/>
        <w:sz w:val="22"/>
        <w:szCs w:val="22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02824A" w14:textId="77777777" w:rsidR="001A206B" w:rsidRDefault="001A206B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spacing w:line="240" w:lineRule="auto"/>
      <w:rPr>
        <w:rFonts w:ascii="Calibri" w:hAnsi="Calibri"/>
        <w:color w:val="000000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491E4B" w14:textId="77777777" w:rsidR="00592DEA" w:rsidRDefault="00592DEA">
      <w:pPr>
        <w:spacing w:line="240" w:lineRule="auto"/>
      </w:pPr>
      <w:r>
        <w:separator/>
      </w:r>
    </w:p>
  </w:footnote>
  <w:footnote w:type="continuationSeparator" w:id="0">
    <w:p w14:paraId="3C1F6E4B" w14:textId="77777777" w:rsidR="00592DEA" w:rsidRDefault="00592DEA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295D23"/>
    <w:multiLevelType w:val="hybridMultilevel"/>
    <w:tmpl w:val="839EDB6E"/>
    <w:lvl w:ilvl="0" w:tplc="AD6A34DA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ED4AF1B6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7A56C2F8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2384EAC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4F76F8B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0C3CD5F0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D514E0F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B2201722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C3844B6A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 w15:restartNumberingAfterBreak="0">
    <w:nsid w:val="0FC64CED"/>
    <w:multiLevelType w:val="hybridMultilevel"/>
    <w:tmpl w:val="B792E400"/>
    <w:lvl w:ilvl="0" w:tplc="8CEE2B18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B94AD142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4780684E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E0ACB95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B508670A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411C1B12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E580166C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A642DEA4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E81AC91C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" w15:restartNumberingAfterBreak="0">
    <w:nsid w:val="1E403057"/>
    <w:multiLevelType w:val="hybridMultilevel"/>
    <w:tmpl w:val="4A6EF178"/>
    <w:lvl w:ilvl="0" w:tplc="1FEE3A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E09DF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A4664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EE0A55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84A579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3AAC7A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AF255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82076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B7C0B2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960455"/>
    <w:multiLevelType w:val="hybridMultilevel"/>
    <w:tmpl w:val="D2523E20"/>
    <w:lvl w:ilvl="0" w:tplc="DE089080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B42390A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C33EB3AC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75FCB33A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41D640B8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5E44CF0C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AAAAB5E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DDEC6646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2C9CC256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3C320F6A"/>
    <w:multiLevelType w:val="hybridMultilevel"/>
    <w:tmpl w:val="F1586B8A"/>
    <w:lvl w:ilvl="0" w:tplc="072C6B46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B4EE8588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2940E48C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5DFCF984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DF626FC8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BEFC3B3C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FAE4AD10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D348EAC6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6DDACD9A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5" w15:restartNumberingAfterBreak="0">
    <w:nsid w:val="3FFE45C9"/>
    <w:multiLevelType w:val="hybridMultilevel"/>
    <w:tmpl w:val="FD80A276"/>
    <w:lvl w:ilvl="0" w:tplc="04D8313C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58CE695A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35BCC600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64ACAEB6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13948E7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AA0AD70C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68060DEA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0BC4E2AA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532E91A6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6" w15:restartNumberingAfterBreak="0">
    <w:nsid w:val="5ECD393B"/>
    <w:multiLevelType w:val="hybridMultilevel"/>
    <w:tmpl w:val="78803012"/>
    <w:lvl w:ilvl="0" w:tplc="A0AA26F8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4750470A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E26C0BCC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FF6802E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CA4E875C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54DCFA72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7E6C618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898AFB4C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18B66A90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7" w15:restartNumberingAfterBreak="0">
    <w:nsid w:val="60503387"/>
    <w:multiLevelType w:val="hybridMultilevel"/>
    <w:tmpl w:val="E40C2F40"/>
    <w:lvl w:ilvl="0" w:tplc="188C388E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E7F0A90C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9BBACBD6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70F8633A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0A42C51E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9BC2D768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4120F14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7CB23344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05667ABE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8" w15:restartNumberingAfterBreak="0">
    <w:nsid w:val="71FC279D"/>
    <w:multiLevelType w:val="hybridMultilevel"/>
    <w:tmpl w:val="B82AAF5C"/>
    <w:lvl w:ilvl="0" w:tplc="E58A6AB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3F7E2DC8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966E9580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B85C4C58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37424D5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60AE693E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D528FD1C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A4167B1E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C6F8C46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>
    <w:abstractNumId w:val="8"/>
  </w:num>
  <w:num w:numId="2">
    <w:abstractNumId w:val="4"/>
  </w:num>
  <w:num w:numId="3">
    <w:abstractNumId w:val="5"/>
  </w:num>
  <w:num w:numId="4">
    <w:abstractNumId w:val="6"/>
  </w:num>
  <w:num w:numId="5">
    <w:abstractNumId w:val="7"/>
  </w:num>
  <w:num w:numId="6">
    <w:abstractNumId w:val="0"/>
  </w:num>
  <w:num w:numId="7">
    <w:abstractNumId w:val="1"/>
  </w:num>
  <w:num w:numId="8">
    <w:abstractNumId w:val="3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206B"/>
    <w:rsid w:val="00004270"/>
    <w:rsid w:val="00044379"/>
    <w:rsid w:val="00067573"/>
    <w:rsid w:val="00195C80"/>
    <w:rsid w:val="001A206B"/>
    <w:rsid w:val="00325995"/>
    <w:rsid w:val="003504E6"/>
    <w:rsid w:val="003864CB"/>
    <w:rsid w:val="003D37FA"/>
    <w:rsid w:val="00463C10"/>
    <w:rsid w:val="004873B5"/>
    <w:rsid w:val="004C3BFC"/>
    <w:rsid w:val="00584FB3"/>
    <w:rsid w:val="00592DEA"/>
    <w:rsid w:val="00721165"/>
    <w:rsid w:val="008A0253"/>
    <w:rsid w:val="009269AB"/>
    <w:rsid w:val="00940A53"/>
    <w:rsid w:val="00A7162A"/>
    <w:rsid w:val="00A74F0F"/>
    <w:rsid w:val="00A8114D"/>
    <w:rsid w:val="00A82400"/>
    <w:rsid w:val="00AD4DA9"/>
    <w:rsid w:val="00B366B4"/>
    <w:rsid w:val="00B92118"/>
    <w:rsid w:val="00BA7163"/>
    <w:rsid w:val="00C006B0"/>
    <w:rsid w:val="00C025DD"/>
    <w:rsid w:val="00CC1E22"/>
    <w:rsid w:val="00CD6AFA"/>
    <w:rsid w:val="00CE2B77"/>
    <w:rsid w:val="00CF4F84"/>
    <w:rsid w:val="00EB37B9"/>
    <w:rsid w:val="00F26301"/>
    <w:rsid w:val="00F45F67"/>
    <w:rsid w:val="00F66017"/>
    <w:rsid w:val="00F810FF"/>
    <w:rsid w:val="00FD6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5D8BE5"/>
  <w15:docId w15:val="{707BD911-8F3D-446E-8E61-CB0194882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lang w:val="ru-RU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hidden/>
    <w:qFormat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paragraph" w:styleId="1">
    <w:name w:val="heading 1"/>
    <w:basedOn w:val="a"/>
    <w:next w:val="a"/>
    <w:link w:val="11"/>
    <w:hidden/>
    <w:qFormat/>
    <w:pPr>
      <w:keepNext/>
      <w:keepLines/>
      <w:spacing w:before="480" w:line="276" w:lineRule="auto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1"/>
    <w:hidden/>
    <w:qFormat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link w:val="40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link w:val="50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link w:val="60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rPr>
      <w:sz w:val="48"/>
      <w:szCs w:val="48"/>
    </w:rPr>
  </w:style>
  <w:style w:type="character" w:customStyle="1" w:styleId="SubtitleChar">
    <w:name w:val="Subtitle Char"/>
    <w:basedOn w:val="a0"/>
    <w:uiPriority w:val="11"/>
    <w:rPr>
      <w:sz w:val="24"/>
      <w:szCs w:val="24"/>
    </w:rPr>
  </w:style>
  <w:style w:type="character" w:customStyle="1" w:styleId="QuoteChar">
    <w:name w:val="Quote Char"/>
    <w:uiPriority w:val="29"/>
    <w:rPr>
      <w:i/>
    </w:rPr>
  </w:style>
  <w:style w:type="character" w:customStyle="1" w:styleId="IntenseQuoteChar">
    <w:name w:val="Intense Quote Char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CaptionChar">
    <w:name w:val="Caption Char"/>
    <w:uiPriority w:val="99"/>
  </w:style>
  <w:style w:type="character" w:customStyle="1" w:styleId="FootnoteTextChar">
    <w:name w:val="Footnote Text Char"/>
    <w:uiPriority w:val="99"/>
    <w:rPr>
      <w:sz w:val="18"/>
    </w:rPr>
  </w:style>
  <w:style w:type="character" w:customStyle="1" w:styleId="EndnoteTextChar">
    <w:name w:val="Endnote Text Char"/>
    <w:uiPriority w:val="99"/>
    <w:rPr>
      <w:sz w:val="20"/>
    </w:rPr>
  </w:style>
  <w:style w:type="character" w:customStyle="1" w:styleId="11">
    <w:name w:val="Заголовок 1 Знак1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1">
    <w:name w:val="Заголовок 2 Знак1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hidden/>
    <w:qFormat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character" w:customStyle="1" w:styleId="a4">
    <w:name w:val="Заголовок Знак"/>
    <w:link w:val="a5"/>
    <w:uiPriority w:val="10"/>
    <w:rPr>
      <w:sz w:val="48"/>
      <w:szCs w:val="48"/>
    </w:rPr>
  </w:style>
  <w:style w:type="character" w:customStyle="1" w:styleId="a6">
    <w:name w:val="Подзаголовок Знак"/>
    <w:link w:val="a7"/>
    <w:uiPriority w:val="11"/>
    <w:rPr>
      <w:sz w:val="24"/>
      <w:szCs w:val="24"/>
    </w:rPr>
  </w:style>
  <w:style w:type="paragraph" w:styleId="20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0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paragraph" w:styleId="aa">
    <w:name w:val="header"/>
    <w:basedOn w:val="a"/>
    <w:link w:val="10"/>
    <w:hidden/>
    <w:qFormat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10">
    <w:name w:val="Верхний колонтитул Знак1"/>
    <w:link w:val="aa"/>
    <w:uiPriority w:val="99"/>
  </w:style>
  <w:style w:type="paragraph" w:styleId="ab">
    <w:name w:val="footer"/>
    <w:basedOn w:val="a"/>
    <w:link w:val="12"/>
    <w:hidden/>
    <w:qFormat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FooterChar">
    <w:name w:val="Footer Char"/>
    <w:uiPriority w:val="99"/>
  </w:style>
  <w:style w:type="paragraph" w:styleId="ac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12">
    <w:name w:val="Нижний колонтитул Знак1"/>
    <w:link w:val="ab"/>
    <w:uiPriority w:val="99"/>
  </w:style>
  <w:style w:type="table" w:styleId="ad">
    <w:name w:val="Table Grid"/>
    <w:basedOn w:val="a1"/>
    <w:hidden/>
    <w:qFormat/>
    <w:pPr>
      <w:spacing w:line="1" w:lineRule="atLeast"/>
      <w:outlineLvl w:val="0"/>
    </w:pPr>
    <w:rPr>
      <w:position w:val="-1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3">
    <w:name w:val="Plain Table 1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-2">
    <w:name w:val="Grid Table 2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3">
    <w:name w:val="Grid Table 3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4">
    <w:name w:val="Grid Table 4"/>
    <w:basedOn w:val="a1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5">
    <w:name w:val="Grid Table 5 Dark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-6">
    <w:name w:val="Grid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-7">
    <w:name w:val="Grid Table 7 Colorful"/>
    <w:basedOn w:val="a1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-10">
    <w:name w:val="List Table 1 Light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-20">
    <w:name w:val="List Table 2"/>
    <w:basedOn w:val="a1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30">
    <w:name w:val="List Table 3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-40">
    <w:name w:val="List Table 4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50">
    <w:name w:val="List Table 5 Dark"/>
    <w:basedOn w:val="a1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-60">
    <w:name w:val="List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e">
    <w:name w:val="Hyperlink"/>
    <w:hidden/>
    <w:qFormat/>
    <w:rPr>
      <w:color w:val="0000FF"/>
      <w:position w:val="-1"/>
      <w:u w:val="single"/>
      <w:vertAlign w:val="baseline"/>
    </w:rPr>
  </w:style>
  <w:style w:type="paragraph" w:styleId="af">
    <w:name w:val="footnote text"/>
    <w:basedOn w:val="a"/>
    <w:link w:val="14"/>
    <w:hidden/>
    <w:qFormat/>
    <w:rPr>
      <w:sz w:val="20"/>
      <w:szCs w:val="20"/>
    </w:rPr>
  </w:style>
  <w:style w:type="character" w:customStyle="1" w:styleId="14">
    <w:name w:val="Текст сноски Знак1"/>
    <w:link w:val="af"/>
    <w:uiPriority w:val="99"/>
    <w:rPr>
      <w:sz w:val="18"/>
    </w:rPr>
  </w:style>
  <w:style w:type="character" w:styleId="af0">
    <w:name w:val="footnote reference"/>
    <w:hidden/>
    <w:qFormat/>
    <w:rPr>
      <w:position w:val="-1"/>
      <w:vertAlign w:val="superscript"/>
    </w:rPr>
  </w:style>
  <w:style w:type="paragraph" w:styleId="af1">
    <w:name w:val="endnote text"/>
    <w:basedOn w:val="a"/>
    <w:link w:val="af2"/>
    <w:uiPriority w:val="99"/>
    <w:semiHidden/>
    <w:unhideWhenUsed/>
    <w:pPr>
      <w:spacing w:line="240" w:lineRule="auto"/>
    </w:pPr>
    <w:rPr>
      <w:sz w:val="20"/>
    </w:rPr>
  </w:style>
  <w:style w:type="character" w:customStyle="1" w:styleId="af2">
    <w:name w:val="Текст концевой сноски Знак"/>
    <w:link w:val="af1"/>
    <w:uiPriority w:val="99"/>
    <w:rPr>
      <w:sz w:val="20"/>
    </w:rPr>
  </w:style>
  <w:style w:type="character" w:styleId="af3">
    <w:name w:val="endnote reference"/>
    <w:uiPriority w:val="99"/>
    <w:semiHidden/>
    <w:unhideWhenUsed/>
    <w:rPr>
      <w:vertAlign w:val="superscript"/>
    </w:rPr>
  </w:style>
  <w:style w:type="paragraph" w:styleId="15">
    <w:name w:val="toc 1"/>
    <w:basedOn w:val="a"/>
    <w:next w:val="a"/>
    <w:hidden/>
    <w:qFormat/>
  </w:style>
  <w:style w:type="paragraph" w:styleId="24">
    <w:name w:val="toc 2"/>
    <w:basedOn w:val="a"/>
    <w:next w:val="a"/>
    <w:hidden/>
    <w:qFormat/>
    <w:pPr>
      <w:ind w:left="240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4">
    <w:name w:val="TOC Heading"/>
    <w:basedOn w:val="1"/>
    <w:next w:val="a"/>
    <w:hidden/>
    <w:qFormat/>
    <w:pPr>
      <w:outlineLvl w:val="9"/>
    </w:pPr>
    <w:rPr>
      <w:rFonts w:eastAsia="Times New Roman" w:cs="Times New Roman"/>
    </w:rPr>
  </w:style>
  <w:style w:type="paragraph" w:styleId="af5">
    <w:name w:val="table of figures"/>
    <w:basedOn w:val="a"/>
    <w:next w:val="a"/>
    <w:uiPriority w:val="99"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Title"/>
    <w:basedOn w:val="a"/>
    <w:next w:val="a"/>
    <w:link w:val="a4"/>
    <w:pPr>
      <w:keepNext/>
      <w:keepLines/>
      <w:spacing w:before="480" w:after="120"/>
    </w:pPr>
    <w:rPr>
      <w:b/>
      <w:sz w:val="72"/>
      <w:szCs w:val="72"/>
    </w:rPr>
  </w:style>
  <w:style w:type="paragraph" w:styleId="af6">
    <w:name w:val="List Paragraph"/>
    <w:basedOn w:val="a"/>
    <w:hidden/>
    <w:qFormat/>
    <w:pPr>
      <w:ind w:left="720"/>
    </w:pPr>
  </w:style>
  <w:style w:type="paragraph" w:styleId="af7">
    <w:name w:val="Balloon Text"/>
    <w:basedOn w:val="a"/>
    <w:hidden/>
    <w:qFormat/>
    <w:rPr>
      <w:rFonts w:ascii="Tahoma" w:hAnsi="Tahoma"/>
      <w:sz w:val="16"/>
      <w:szCs w:val="16"/>
    </w:rPr>
  </w:style>
  <w:style w:type="character" w:customStyle="1" w:styleId="af8">
    <w:name w:val="Текст выноски Знак"/>
    <w:hidden/>
    <w:qFormat/>
    <w:rPr>
      <w:rFonts w:ascii="Tahoma" w:hAnsi="Tahoma" w:cs="Tahoma"/>
      <w:position w:val="-1"/>
      <w:sz w:val="16"/>
      <w:szCs w:val="16"/>
      <w:vertAlign w:val="baseline"/>
      <w:lang w:eastAsia="ru-RU"/>
    </w:rPr>
  </w:style>
  <w:style w:type="paragraph" w:customStyle="1" w:styleId="otekstj">
    <w:name w:val="otekstj"/>
    <w:basedOn w:val="a"/>
    <w:hidden/>
    <w:qFormat/>
    <w:pPr>
      <w:spacing w:before="100" w:beforeAutospacing="1" w:after="100" w:afterAutospacing="1"/>
    </w:pPr>
    <w:rPr>
      <w:rFonts w:eastAsia="Times New Roman"/>
    </w:rPr>
  </w:style>
  <w:style w:type="character" w:customStyle="1" w:styleId="apple-converted-space">
    <w:name w:val="apple-converted-space"/>
    <w:basedOn w:val="a0"/>
    <w:hidden/>
    <w:qFormat/>
    <w:rPr>
      <w:position w:val="-1"/>
      <w:vertAlign w:val="baseline"/>
    </w:rPr>
  </w:style>
  <w:style w:type="character" w:customStyle="1" w:styleId="af9">
    <w:name w:val="Верхний колонтитул Знак"/>
    <w:hidden/>
    <w:qFormat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afa">
    <w:name w:val="Нижний колонтитул Знак"/>
    <w:hidden/>
    <w:qFormat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16">
    <w:name w:val="Заголовок 1 Знак"/>
    <w:hidden/>
    <w:qFormat/>
    <w:rPr>
      <w:rFonts w:ascii="Cambria" w:hAnsi="Cambria"/>
      <w:b/>
      <w:bCs/>
      <w:color w:val="365F91"/>
      <w:position w:val="-1"/>
      <w:sz w:val="28"/>
      <w:szCs w:val="28"/>
      <w:vertAlign w:val="baseline"/>
      <w:lang w:val="ru-RU" w:eastAsia="ru-RU" w:bidi="ar-SA"/>
    </w:rPr>
  </w:style>
  <w:style w:type="character" w:customStyle="1" w:styleId="25">
    <w:name w:val="Заголовок 2 Знак"/>
    <w:hidden/>
    <w:qFormat/>
    <w:rPr>
      <w:rFonts w:ascii="Cambria" w:eastAsia="Times New Roman" w:hAnsi="Cambria" w:cs="Times New Roman"/>
      <w:b/>
      <w:bCs/>
      <w:i/>
      <w:iCs/>
      <w:position w:val="-1"/>
      <w:sz w:val="28"/>
      <w:szCs w:val="28"/>
      <w:vertAlign w:val="baseline"/>
    </w:rPr>
  </w:style>
  <w:style w:type="paragraph" w:styleId="afb">
    <w:name w:val="Normal (Web)"/>
    <w:basedOn w:val="a"/>
    <w:hidden/>
    <w:qFormat/>
    <w:pPr>
      <w:spacing w:before="100" w:beforeAutospacing="1" w:after="100" w:afterAutospacing="1"/>
    </w:pPr>
    <w:rPr>
      <w:rFonts w:eastAsia="Times New Roman"/>
    </w:rPr>
  </w:style>
  <w:style w:type="table" w:customStyle="1" w:styleId="17">
    <w:name w:val="Сетка таблицы1"/>
    <w:basedOn w:val="a1"/>
    <w:next w:val="ad"/>
    <w:hidden/>
    <w:qFormat/>
    <w:pPr>
      <w:spacing w:line="1" w:lineRule="atLeast"/>
      <w:outlineLvl w:val="0"/>
    </w:pPr>
    <w:rPr>
      <w:rFonts w:cs="Times New Roman"/>
      <w:position w:val="-1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fc">
    <w:name w:val="Текст сноски Знак"/>
    <w:hidden/>
    <w:qFormat/>
    <w:rPr>
      <w:rFonts w:ascii="Times New Roman" w:hAnsi="Times New Roman"/>
      <w:position w:val="-1"/>
      <w:vertAlign w:val="baseline"/>
    </w:rPr>
  </w:style>
  <w:style w:type="paragraph" w:styleId="a7">
    <w:name w:val="Subtitle"/>
    <w:basedOn w:val="a"/>
    <w:next w:val="a"/>
    <w:link w:val="a6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StGen0">
    <w:name w:val="StGen0"/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afd">
    <w:name w:val="annotation reference"/>
    <w:basedOn w:val="a0"/>
    <w:uiPriority w:val="99"/>
    <w:semiHidden/>
    <w:unhideWhenUsed/>
    <w:rsid w:val="00A7162A"/>
    <w:rPr>
      <w:sz w:val="16"/>
      <w:szCs w:val="16"/>
    </w:rPr>
  </w:style>
  <w:style w:type="paragraph" w:styleId="afe">
    <w:name w:val="annotation text"/>
    <w:basedOn w:val="a"/>
    <w:link w:val="aff"/>
    <w:uiPriority w:val="99"/>
    <w:semiHidden/>
    <w:unhideWhenUsed/>
    <w:rsid w:val="00A7162A"/>
    <w:pPr>
      <w:spacing w:line="240" w:lineRule="auto"/>
    </w:pPr>
    <w:rPr>
      <w:sz w:val="20"/>
      <w:szCs w:val="20"/>
    </w:rPr>
  </w:style>
  <w:style w:type="character" w:customStyle="1" w:styleId="aff">
    <w:name w:val="Текст примечания Знак"/>
    <w:basedOn w:val="a0"/>
    <w:link w:val="afe"/>
    <w:uiPriority w:val="99"/>
    <w:semiHidden/>
    <w:rsid w:val="00A7162A"/>
    <w:rPr>
      <w:rFonts w:ascii="Times New Roman" w:hAnsi="Times New Roman"/>
      <w:position w:val="-1"/>
      <w:lang w:eastAsia="ru-RU"/>
    </w:rPr>
  </w:style>
  <w:style w:type="paragraph" w:styleId="aff0">
    <w:name w:val="annotation subject"/>
    <w:basedOn w:val="afe"/>
    <w:next w:val="afe"/>
    <w:link w:val="aff1"/>
    <w:uiPriority w:val="99"/>
    <w:semiHidden/>
    <w:unhideWhenUsed/>
    <w:rsid w:val="00A7162A"/>
    <w:rPr>
      <w:b/>
      <w:bCs/>
    </w:rPr>
  </w:style>
  <w:style w:type="character" w:customStyle="1" w:styleId="aff1">
    <w:name w:val="Тема примечания Знак"/>
    <w:basedOn w:val="aff"/>
    <w:link w:val="aff0"/>
    <w:uiPriority w:val="99"/>
    <w:semiHidden/>
    <w:rsid w:val="00A7162A"/>
    <w:rPr>
      <w:rFonts w:ascii="Times New Roman" w:hAnsi="Times New Roman"/>
      <w:b/>
      <w:bCs/>
      <w:position w:val="-1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Arial"/>
        <a:cs typeface="Arial"/>
      </a:majorFont>
      <a:minorFont>
        <a:latin typeface="Cambria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>
    <a:spDef>
      <a:spPr bwMode="auto"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 bwMode="auto"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ERqV6AUeOqS2jZndAjbhL9YEU9Q==">AMUW2mUvpkaqgSHkX5oafMg6G5c6RQP+Zv8k7aQBBjkyajydQwmxZFt38eU/zXwJebBFtNGiA32XW/M9jGb+JlKaFKquj1smIzanzcLZEz2/vgI/J//crSLwFHmEAKtqB/qml6NVYvwZyNhHQLIfdcd0kZSZo5Tk8W2ZqQ6ULKW0MgAECFND3oVFdWgTpUiBFv+LCQqtMvqFwLEWvaiVUShFpXCSEi6LUlSUqaM20pkQ38qm0ifFGfQ=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1111111-1234-1234-1234-123412341234}"/>
</file>

<file path=customXml/itemProps2.xml><?xml version="1.0" encoding="utf-8"?>
<ds:datastoreItem xmlns:ds="http://schemas.openxmlformats.org/officeDocument/2006/customXml" ds:itemID="{5F94F9A4-549B-494E-B8E9-EE1715BDEFAF}"/>
</file>

<file path=customXml/itemProps3.xml><?xml version="1.0" encoding="utf-8"?>
<ds:datastoreItem xmlns:ds="http://schemas.openxmlformats.org/officeDocument/2006/customXml" ds:itemID="{B03A1182-FF08-4D04-8EF1-A96D9C901ABF}"/>
</file>

<file path=customXml/itemProps4.xml><?xml version="1.0" encoding="utf-8"?>
<ds:datastoreItem xmlns:ds="http://schemas.openxmlformats.org/officeDocument/2006/customXml" ds:itemID="{816F6C75-5356-4A36-A03A-28FD643D771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1147</Words>
  <Characters>6543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Петровна Овчинникова</dc:creator>
  <cp:lastModifiedBy>User</cp:lastModifiedBy>
  <cp:revision>4</cp:revision>
  <dcterms:created xsi:type="dcterms:W3CDTF">2025-10-30T19:32:00Z</dcterms:created>
  <dcterms:modified xsi:type="dcterms:W3CDTF">2026-01-23T06:12:00Z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