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AA" w:rsidRPr="00B12FAA" w:rsidRDefault="00B12FAA" w:rsidP="00B1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2F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Совместительство и совмещение: в чем разница</w:t>
      </w:r>
    </w:p>
    <w:p w:rsidR="00B12FAA" w:rsidRDefault="00B12FAA" w:rsidP="00B1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AA" w:rsidRPr="00B12FAA" w:rsidRDefault="00B12FAA" w:rsidP="00B12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AA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2017 года</w:t>
      </w:r>
    </w:p>
    <w:p w:rsidR="00B33926" w:rsidRDefault="00B33926" w:rsidP="00B12FAA">
      <w:pPr>
        <w:jc w:val="right"/>
      </w:pPr>
    </w:p>
    <w:p w:rsidR="00B12FAA" w:rsidRPr="00B12FAA" w:rsidRDefault="00B12FAA" w:rsidP="00B1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Совмещение и совместительство довольно часто путают не только работники, но и сами работодатели. Однако смешение этих понятий может привести к наруше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нию прав работников, а значит – </w:t>
      </w:r>
      <w:r w:rsidRPr="00B1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негативным последствиям для компании. </w:t>
      </w:r>
    </w:p>
    <w:p w:rsidR="00B12FAA" w:rsidRDefault="00B12FAA" w:rsidP="00B12FAA">
      <w:pPr>
        <w:jc w:val="both"/>
      </w:pPr>
    </w:p>
    <w:p w:rsidR="00B12FAA" w:rsidRPr="00B12FAA" w:rsidRDefault="00B12FAA" w:rsidP="00B1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 дополнительная работа</w:t>
      </w:r>
    </w:p>
    <w:p w:rsidR="00B12FAA" w:rsidRPr="00B12FAA" w:rsidRDefault="00B12FAA" w:rsidP="00B1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действующем Трудовом законодательстве отсутствует формальное определение основной работы. На практике же под ней понимают организацию, в которой находится трудовая книжка специалиста. Достаточно распростра</w:t>
      </w:r>
      <w:r w:rsid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ненными – но не обязательными – </w:t>
      </w:r>
      <w:r w:rsidRPr="00B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признаками основной работы также </w:t>
      </w:r>
      <w:proofErr w:type="gramStart"/>
      <w:r w:rsidRPr="00B12F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Pr="00B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рабочего времени, проводимого сотрудником в этой организации, более высокая по сравнению с другими местами заработная плата и прочее. </w:t>
      </w:r>
    </w:p>
    <w:p w:rsidR="00B12FAA" w:rsidRDefault="00B12FAA" w:rsidP="00B1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сегодняшних реалиях многие специалисты стремятся увеличить свой доход, дополняя основную работу работой по совместительству в других местах. Кстати, в некоторых случаях дополнительная занятость может быть и инициативой работодателя, который таким образом стремится оптимизировать штатную численность сотрудников и фонд заработной платы. При этом для всех сторон крайне важно четко понимать формат такого сотрудничества, а также взаимные права и обязанности. Например, разница в совмещении и совместительстве в части объемов рабочего времени может оказаться весьма заметной.</w:t>
      </w:r>
    </w:p>
    <w:p w:rsidR="00B12FAA" w:rsidRDefault="00B12FAA" w:rsidP="00B1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FAA" w:rsidRPr="00B12FAA" w:rsidRDefault="00B12FAA" w:rsidP="00B1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дополнительной работы</w:t>
      </w:r>
    </w:p>
    <w:p w:rsidR="00B12FAA" w:rsidRPr="00B64616" w:rsidRDefault="00B12FAA" w:rsidP="00B64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условий занятости сотрудника на основной работе, ее сложности, наличия ограничений при занятости на данной позиции и ряда других факторов он может осуществлять дополнительную трудовую деятельность в следующих форматах:</w:t>
      </w:r>
    </w:p>
    <w:p w:rsidR="00B12FAA" w:rsidRPr="00B64616" w:rsidRDefault="00B12FAA" w:rsidP="00B64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616"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2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совмещение, предусмотренное ст. 60.2 ТК РФ;</w:t>
      </w:r>
    </w:p>
    <w:p w:rsidR="00B64616" w:rsidRPr="00B64616" w:rsidRDefault="00B12FAA" w:rsidP="00B64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616"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1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совместительство, предусмотренное ст. 60.1 ТК РФ. При этом, несмотря на отсутствие таких терминов в действующем Трудовом кодексе, на практике принято различать совместительство внутреннее и внешнее. Совмещение профессий и должностей, однако, не стоит смешивать с этими понятиями; </w:t>
      </w:r>
    </w:p>
    <w:p w:rsidR="00B12FAA" w:rsidRDefault="00B64616" w:rsidP="00B64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12FAA" w:rsidRPr="00B12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обязанностей работника, который по тем или иным уважительным причинам временно отсутствует на работе. Эту ситуацию, в свою очередь, не стоит путать с совместительством и совмещением.</w:t>
      </w:r>
    </w:p>
    <w:p w:rsidR="00B64616" w:rsidRDefault="00B64616" w:rsidP="00B64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616" w:rsidRDefault="00B64616" w:rsidP="00B64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616" w:rsidRDefault="00B64616" w:rsidP="00B6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616" w:rsidRDefault="00B64616" w:rsidP="00B6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Совмещение</w:t>
      </w:r>
    </w:p>
    <w:p w:rsidR="00B64616" w:rsidRPr="00B64616" w:rsidRDefault="00B64616" w:rsidP="00B64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Совмещение представляет собой выполнение дополнительных трудовых обязанностей в рамках установленной для сотрудника продолжительности рабочего времени на основном месте работы. </w:t>
      </w:r>
    </w:p>
    <w:p w:rsidR="00B64616" w:rsidRPr="00B64616" w:rsidRDefault="00B64616" w:rsidP="00B64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такого определения данного вида занятости, очевидно, что работу в режиме совмещения возможно осуществлять только у того же работодателя, который предоставляет специалисту основное место. В этом случае речь идет о внутреннем совмещени</w:t>
      </w:r>
      <w:r w:rsidR="0077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внутреннее совместительство </w:t>
      </w:r>
      <w:r w:rsidR="007753C7"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иной вид деятельности, который мы рассмотрим в соответствующем разделе нашего материала. </w:t>
      </w:r>
    </w:p>
    <w:p w:rsidR="00B64616" w:rsidRDefault="00B64616" w:rsidP="00B64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условием, которое необходимо для привлечения совместителя к работе в рассматриваемом режиме, является его согласие на такой вид занятости. Такое согласие должно быть выражено им в письменной форме во избежание разночтений. Это связано, в том числе с тем, что понятие совмещения, как и совместительства, Трудовой кодекс трактует достаточно широко. В частности, в этот термин включаются:</w:t>
      </w:r>
    </w:p>
    <w:p w:rsidR="007753C7" w:rsidRPr="007753C7" w:rsidRDefault="007753C7" w:rsidP="0077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7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выполняемых операций по той же профессии или специальности, по которой сотрудник занят на основной работе. Согласно </w:t>
      </w:r>
      <w:proofErr w:type="gramStart"/>
      <w:r w:rsidRPr="007753C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753C7">
        <w:rPr>
          <w:rFonts w:ascii="Times New Roman" w:eastAsia="Times New Roman" w:hAnsi="Times New Roman" w:cs="Times New Roman"/>
          <w:sz w:val="28"/>
          <w:szCs w:val="28"/>
          <w:lang w:eastAsia="ru-RU"/>
        </w:rPr>
        <w:t>.2 ст. 60.2 ТК РФ это называется расширением зон обслуживания или увеличением реализуемого объема работ;</w:t>
      </w:r>
    </w:p>
    <w:p w:rsidR="007753C7" w:rsidRPr="007753C7" w:rsidRDefault="007753C7" w:rsidP="0077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спектра исполняемых функций; </w:t>
      </w:r>
    </w:p>
    <w:p w:rsidR="007753C7" w:rsidRDefault="007753C7" w:rsidP="0077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7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принципиально иных видов работ, в том числе должностных обязанностей по другой профессии или специальности.</w:t>
      </w:r>
    </w:p>
    <w:p w:rsidR="007753C7" w:rsidRPr="007753C7" w:rsidRDefault="007753C7" w:rsidP="0077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для целей оформления необходимых документов и начисления дополнительной оплаты разграничение этих ситуаций, а также разница в совместительстве и совмещении могут оказаться весьма важными. </w:t>
      </w:r>
    </w:p>
    <w:p w:rsidR="007753C7" w:rsidRPr="007753C7" w:rsidRDefault="007753C7" w:rsidP="0077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C7" w:rsidRPr="007753C7" w:rsidRDefault="007753C7" w:rsidP="0077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совмещения</w:t>
      </w:r>
    </w:p>
    <w:p w:rsidR="007753C7" w:rsidRPr="007753C7" w:rsidRDefault="007753C7" w:rsidP="0077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дополнительных обязанностей или расширение их объема в соответствии с актуальным Трудовым кодексом потребует от работодателя осуществления доплат данному сотруднику. Общий порядок определения размера дополнительных выплат может быть установлен локальным нормативным актом или коллективным договором между работодателем и сотрудниками предприятия. </w:t>
      </w:r>
    </w:p>
    <w:p w:rsidR="007753C7" w:rsidRDefault="007753C7" w:rsidP="0077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финансовые условия привлечения сотрудника к работе в режиме совмещения (как и совместительства) должны быть четко зафиксированы в индивидуальном порядке. Основным документом, который применяется для этих целей, является трудовой договор с работником. В нем указываются полные условия расчета доплат работнику за выполнение дополнительных обязанностей, который, как правило, осуществляется с учетом фактического объема выполняемых работ и их сложности. Многие организации считают целесообразным определять размер дополнительных выплат совместителю исходя из объема рабочего времени, потраченного на выполнение дополнительных обязанностей. </w:t>
      </w:r>
    </w:p>
    <w:p w:rsidR="007753C7" w:rsidRPr="007753C7" w:rsidRDefault="007753C7" w:rsidP="00775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C7" w:rsidRPr="007753C7" w:rsidRDefault="007753C7" w:rsidP="0077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Оформление совмещения</w:t>
      </w:r>
    </w:p>
    <w:p w:rsidR="008D5E3F" w:rsidRPr="008D5E3F" w:rsidRDefault="008D5E3F" w:rsidP="008D5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указывает ст. 60.2 ТК РФ, получение ясно выраженного письменного согласия работника на труд в режиме совмещения является обязательным условием для привлечения его к такой работе. На практике такое письменное согласие часто оформляется в составе трудового договора с работником. В этом случае возможны два варианта: </w:t>
      </w:r>
    </w:p>
    <w:p w:rsidR="008D5E3F" w:rsidRPr="008D5E3F" w:rsidRDefault="008D5E3F" w:rsidP="008D5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совмещение предлагается сотруднику сразу же на этапе трудоустройства, и он согласен на такое предложение, условия выполнения работ, включая размер доплаты за дополнительные выполняемые функции, прописываются непосредственно в трудовом договоре. В остальном процедура трудоустройства осуществляется по стандартному алгоритму, который включает в себя издание приказа о приеме на работу и заполнение документации на нового сотрудника; </w:t>
      </w:r>
    </w:p>
    <w:p w:rsidR="008D5E3F" w:rsidRPr="008D5E3F" w:rsidRDefault="008D5E3F" w:rsidP="008D5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совмещение оформляется для сотрудника, который ранее уже работал в организации, условия выполнения новых для него задач фиксируются посредством заключения дополнительного соглашения к трудовому договору. В этом случае потребуется издать приказ о совмещении должностей или профессий с указанием основных условий, перечисленных в </w:t>
      </w:r>
      <w:proofErr w:type="spellStart"/>
      <w:r w:rsidRPr="008D5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допсоглашении</w:t>
      </w:r>
      <w:proofErr w:type="spellEnd"/>
      <w:r w:rsidRPr="008D5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E3F" w:rsidRPr="008D5E3F" w:rsidRDefault="008D5E3F" w:rsidP="008D5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5E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Обратите внимание! В обоих случаях работник должен быть ознакомлен с содержанием соответствующего приказа под роспись.</w:t>
      </w:r>
    </w:p>
    <w:p w:rsidR="008D5E3F" w:rsidRPr="008D5E3F" w:rsidRDefault="008D5E3F" w:rsidP="008D5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– либо другие документы по факту привлечения работника к труду на условиях совмещения заполнять не нужно. Это касается, в том числе, вопроса внесения таких сведений в трудовую книжку: Инструкция по заполнению этих документов не требует фиксации такой информации. Вместе с тем, если трудовая деятельность в рамках дополнительной должности или профессии предполагает регулярный контакт с материальными ценностями, целесообразно заключить с сотрудником договор о полной материальной ответственности.</w:t>
      </w:r>
    </w:p>
    <w:p w:rsidR="008D5E3F" w:rsidRDefault="008D5E3F" w:rsidP="008D5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3F" w:rsidRPr="008D5E3F" w:rsidRDefault="008D5E3F" w:rsidP="008D5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Отмена работы в режиме совмещения</w:t>
      </w:r>
    </w:p>
    <w:p w:rsidR="008D5E3F" w:rsidRPr="008D5E3F" w:rsidRDefault="008D5E3F" w:rsidP="008D5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срок, в течение которого работник будет выполнять определенные обязанности в режиме совмещения, оговаривается на этапе обсуждения данного вида работ. Конкретные временные границы этого периода фиксируются в трудовом договоре или дополнительном соглашении к нему. Кстати, он может быть установлен в виде определенной даты или указания на то или иное обстоятельств</w:t>
      </w:r>
      <w:r w:rsidR="004A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A4393"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выход на работу временно отсутствующего сотрудника. Однако досрочно отказаться от продолжения сотрудничества в режиме со</w:t>
      </w:r>
      <w:r w:rsidR="004A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вмещения может любая из сторон </w:t>
      </w:r>
      <w:r w:rsidR="004A4393"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право действующее законодательство предоставляет и работнику, и работодателю.</w:t>
      </w:r>
    </w:p>
    <w:p w:rsidR="004A4393" w:rsidRPr="004A4393" w:rsidRDefault="004A4393" w:rsidP="004A4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60.2 ТК РФ инициатор такого решения обязан предупредить другую сторону о намерении расторгнуть </w:t>
      </w:r>
      <w:proofErr w:type="gramStart"/>
      <w:r w:rsidRPr="004A4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proofErr w:type="gramEnd"/>
      <w:r w:rsidRPr="004A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сотрудничестве по данному направлению не позднее, чем за три рабочих дня до его исполнения. Сделать это следует в письменной форме: такой способ </w:t>
      </w:r>
      <w:r w:rsidRPr="004A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позволит четко зафиксировать дату расторжения соглашения и сможет стать аргументом в случае возникновения конфликтной ситуации. На основании такого уведомления работодатель издает приказ об отмене совмещения.</w:t>
      </w:r>
    </w:p>
    <w:p w:rsidR="004A4393" w:rsidRPr="004A4393" w:rsidRDefault="004A4393" w:rsidP="004A4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9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сходятся во мнении о том, что заключать новое дополнительное соглашение к трудовому договору в этой ситуации нет необходимости, поскольку прекращение совмещения производится в уведомительном порядке. Вместе с тем, если отмена работы в данном режиме предполагает какие-либо дополнительные условия, например, выплату работнику компенсации за досрочное расторжение данной договоренности, такое соглашение может быть подписано.</w:t>
      </w:r>
    </w:p>
    <w:p w:rsidR="00B64616" w:rsidRDefault="00B64616" w:rsidP="00B64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393" w:rsidRPr="004A4393" w:rsidRDefault="004A4393" w:rsidP="004A4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Совместительство</w:t>
      </w:r>
    </w:p>
    <w:p w:rsidR="004A4393" w:rsidRPr="004A4393" w:rsidRDefault="004A4393" w:rsidP="004A4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60.1 ТК РФ работник вправе по своему усмотрению распоряжаться временем, свободным от своей основной работы, в том числе тратить его на другую оплачиваемую деятельность. В случае</w:t>
      </w:r>
      <w:proofErr w:type="gramStart"/>
      <w:r w:rsidRPr="004A4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A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такая работа выполняется на регулярной основе с установленным размером оплаты за выполнение конкретных функций, она носит название совместительства. В свою очередь, вопросам регулирования трудовой деятельности совместителей и взаимодействия их с работодателями посвящена глава 44 ТК РФ. </w:t>
      </w:r>
    </w:p>
    <w:p w:rsidR="004A4393" w:rsidRPr="004A4393" w:rsidRDefault="004A4393" w:rsidP="004A4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43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Обратите внимание! В трудовом законодательстве не содержится ограничений относительно объема работ и количества работодателей, у которых сотрудник может работать по совместительству.</w:t>
      </w:r>
    </w:p>
    <w:p w:rsidR="004A4393" w:rsidRPr="004A4393" w:rsidRDefault="004A4393" w:rsidP="004A4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привлечение к работе на условиях совместительства возможно в случае соблюдения следующих требований: </w:t>
      </w:r>
    </w:p>
    <w:p w:rsidR="004A4393" w:rsidRPr="004A4393" w:rsidRDefault="004A4393" w:rsidP="004A4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A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уже достиг восемнадцатилетнего возраста; </w:t>
      </w:r>
    </w:p>
    <w:p w:rsidR="004A4393" w:rsidRPr="004A4393" w:rsidRDefault="004A4393" w:rsidP="004A4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A43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A4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A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работа по совместительству предполагает воздействие вредных условий на сотрудника, его основная работа не связана с влиянием таких факторов; </w:t>
      </w:r>
    </w:p>
    <w:p w:rsidR="004A4393" w:rsidRPr="004A4393" w:rsidRDefault="004A4393" w:rsidP="004A4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A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и работник заключили трудовой договор о работе по совместительству, в котором зафиксировали все условия такого сотрудничества. </w:t>
      </w:r>
    </w:p>
    <w:p w:rsidR="004A4393" w:rsidRDefault="004A4393" w:rsidP="004A4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43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Обратите внимание! Для некоторых категорий специалистов, например</w:t>
      </w:r>
      <w:proofErr w:type="gramStart"/>
      <w:r w:rsidRPr="004A43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proofErr w:type="gramEnd"/>
      <w:r w:rsidRPr="004A43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руководителей организаций, установлены дополнительные условия при работе по совместительству.</w:t>
      </w:r>
    </w:p>
    <w:p w:rsidR="007E30E8" w:rsidRDefault="007E30E8" w:rsidP="004A4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30E8" w:rsidRPr="007E30E8" w:rsidRDefault="007E30E8" w:rsidP="007E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совместительства</w:t>
      </w:r>
    </w:p>
    <w:p w:rsidR="007E30E8" w:rsidRPr="007E30E8" w:rsidRDefault="007E30E8" w:rsidP="007E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60.1 ТК РФ прямо прописывает два основных вида совместительства в зависимости от того, как связаны между собой основное и дополнительное места работы конкретного сотрудника:</w:t>
      </w:r>
    </w:p>
    <w:p w:rsidR="007E30E8" w:rsidRPr="007E30E8" w:rsidRDefault="007E30E8" w:rsidP="007E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сотрудник осуществляет трудовую деятельность в свободное от основной работы время у того же работодателя, речь идет о внутреннем совместительстве (внутреннее совмещение, которое следует отличать от этой работы, предполагает выполнение обязанностей в рамках основного рабочего времени); </w:t>
      </w:r>
    </w:p>
    <w:p w:rsidR="007E30E8" w:rsidRPr="007E30E8" w:rsidRDefault="007E30E8" w:rsidP="007E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7E30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сотрудник работает на условиях совместительства у другого работодателя, это называется внешним совместительством.</w:t>
      </w:r>
    </w:p>
    <w:p w:rsidR="007E30E8" w:rsidRDefault="007E30E8" w:rsidP="007E3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E8" w:rsidRPr="007E30E8" w:rsidRDefault="007E30E8" w:rsidP="007E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совместительства и заключение трудового договора</w:t>
      </w:r>
    </w:p>
    <w:p w:rsidR="007E30E8" w:rsidRPr="007E30E8" w:rsidRDefault="007E30E8" w:rsidP="007E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между совмещением и совместительством </w:t>
      </w:r>
      <w:proofErr w:type="gramStart"/>
      <w:r w:rsidRPr="007E3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proofErr w:type="gramEnd"/>
      <w:r w:rsidRPr="007E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порядке оформления такого сотрудника на работу. Так, если речь идет о внутреннем совместительстве (как и совмещение, оно осуществляется у одного и того же работодателя), работнику нет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последнему какие </w:t>
      </w: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документы, поскольку он уже представляли их при трудоустройстве на основное место работы. В случае же внешнего совместительства перечень предоставляемых документов регламентируется ст. 283 ТК РФ. Он включает в себя: </w:t>
      </w:r>
    </w:p>
    <w:p w:rsidR="007E30E8" w:rsidRPr="007E30E8" w:rsidRDefault="007E30E8" w:rsidP="007E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другой документ, служащий для удостоверения личности; </w:t>
      </w:r>
    </w:p>
    <w:p w:rsidR="007E30E8" w:rsidRPr="007E30E8" w:rsidRDefault="007E30E8" w:rsidP="007E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3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работы, требующей опре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деленного уровня квалификации, </w:t>
      </w: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об имеющемся образовании; </w:t>
      </w:r>
    </w:p>
    <w:p w:rsidR="007E30E8" w:rsidRPr="007E30E8" w:rsidRDefault="007E30E8" w:rsidP="007E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30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работы с вредными условиями </w:t>
      </w: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E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с основного места работы, свидетельствующий о том, что там воздействие таких условий отсутствует. </w:t>
      </w:r>
    </w:p>
    <w:p w:rsidR="007E30E8" w:rsidRPr="007E30E8" w:rsidRDefault="007E30E8" w:rsidP="007E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30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Обратите внимание! Трудовая книжка при трудоустройстве по совместительству не предоставляется, поскольку она хранится у основного работодателя.</w:t>
      </w:r>
    </w:p>
    <w:p w:rsidR="007E30E8" w:rsidRPr="007E30E8" w:rsidRDefault="007E30E8" w:rsidP="00156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требованием Трудового кодекса является условие о том, чтобы каждый работодатель, у которого специалист работает по совместительству, заключил с ним отдельный трудовой договор. В нем должно содержаться указание на то, что работа на данной должности является работой на условиях совместительства. При этом такой договор может иметь как ограниченный, так и неограниченный срок действия. </w:t>
      </w:r>
    </w:p>
    <w:p w:rsidR="007E30E8" w:rsidRDefault="007E30E8" w:rsidP="004A4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6F4F" w:rsidRPr="00156F4F" w:rsidRDefault="00156F4F" w:rsidP="0015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дополнительных документов</w:t>
      </w:r>
    </w:p>
    <w:p w:rsidR="00156F4F" w:rsidRPr="00156F4F" w:rsidRDefault="00156F4F" w:rsidP="00156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оформления трудового договора совместителя, работодателю следует позаботиться о подготовке дополнительных документов, включая: </w:t>
      </w:r>
    </w:p>
    <w:p w:rsidR="00156F4F" w:rsidRPr="00156F4F" w:rsidRDefault="00156F4F" w:rsidP="00156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приеме на работу на условиях совместительства; </w:t>
      </w:r>
    </w:p>
    <w:p w:rsidR="00156F4F" w:rsidRDefault="00156F4F" w:rsidP="00156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карточку сотрудника, которую можно заполнить, напри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с использованием формы № Т</w:t>
      </w: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156F4F" w:rsidRPr="00156F4F" w:rsidRDefault="00156F4F" w:rsidP="00156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внесения записи о трудоустройстве в трудовую книжку, разница между совмещением и совместительством здесь весьма заметна. При желании работника такая запись может быть сделана в случае внутреннего совместительства; внутреннее совмещение такой возможности ему не дает. Однако соответствующую запись должен делать основной работодатель, у которого хранится трудовая книжка. </w:t>
      </w:r>
    </w:p>
    <w:p w:rsidR="00156F4F" w:rsidRDefault="00156F4F" w:rsidP="00156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4F" w:rsidRPr="00156F4F" w:rsidRDefault="00156F4F" w:rsidP="0015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Ограничения времени работы по совместительству</w:t>
      </w:r>
    </w:p>
    <w:p w:rsidR="00156F4F" w:rsidRPr="00156F4F" w:rsidRDefault="00156F4F" w:rsidP="00156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Совмещение и совместительство </w:t>
      </w: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разница? </w:t>
      </w: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вопросом задаются как работники, так и работодатели. Одним из аспектов ответа на </w:t>
      </w:r>
      <w:r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него является ограничение в части продолжительности времени работы по совместительству, установленные ст. 284 ТК РФ. Трудовая деятельность осуществляется в рамках обычной рабочей смены при совмещении, а совместительство ограничивается не более чем четырьмя часами в день.</w:t>
      </w:r>
    </w:p>
    <w:p w:rsidR="00156F4F" w:rsidRPr="00156F4F" w:rsidRDefault="00156F4F" w:rsidP="00156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ограничение, однако, касается только тех дней, когда сотрудник занят на основной работе. В дни, которые на основном месте являются выходными, на дополнительном месте он может работать полную смену. Вместе с тем, работодатель, предоставивший сотруднику работу по совместительству, должен следить за общей продолжительностью его труда в течение месяца.</w:t>
      </w:r>
    </w:p>
    <w:p w:rsidR="00156F4F" w:rsidRDefault="00156F4F" w:rsidP="00156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F4F" w:rsidRPr="00156F4F" w:rsidRDefault="00156F4F" w:rsidP="0015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Совместительство и совмещение: в чем разница</w:t>
      </w:r>
    </w:p>
    <w:p w:rsidR="00156F4F" w:rsidRPr="00156F4F" w:rsidRDefault="00156F4F" w:rsidP="00156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отличие между этими понятиями заключается в том, что совместительство реализуется в свободное от основной работы время, тогда как работа в режиме совмещения выполняется в пределах основной рабочей смены. При этом внутреннее совместительство и совмещение могут быть </w:t>
      </w:r>
      <w:proofErr w:type="gramStart"/>
      <w:r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одного работодателя, тогда как внешнее совместительство предполагает трудовую деятельность в разных организациях. Кроме того, для получения наиболее полного ответа на вопрос о внешнем, внутреннем совмещении, совместительстве и о том, в чем разница между ними, следует учесть еще ряд важных моментов:</w:t>
      </w:r>
    </w:p>
    <w:p w:rsidR="000B0319" w:rsidRPr="000B0319" w:rsidRDefault="000B0319" w:rsidP="000B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6F4F"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отпусков и </w:t>
      </w:r>
      <w:proofErr w:type="gramStart"/>
      <w:r w:rsidR="00156F4F"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больничного</w:t>
      </w:r>
      <w:proofErr w:type="gramEnd"/>
      <w:r w:rsidR="00156F4F"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B0319" w:rsidRPr="000B0319" w:rsidRDefault="000B0319" w:rsidP="000B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6F4F"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работе особых категорий сотрудников; </w:t>
      </w:r>
    </w:p>
    <w:p w:rsidR="000B0319" w:rsidRPr="000B0319" w:rsidRDefault="000B0319" w:rsidP="000B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6F4F"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другую работу; </w:t>
      </w:r>
    </w:p>
    <w:p w:rsidR="000B0319" w:rsidRPr="000B0319" w:rsidRDefault="000B0319" w:rsidP="000B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6F4F"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гарантий и компенсаций; </w:t>
      </w:r>
    </w:p>
    <w:p w:rsidR="00156F4F" w:rsidRPr="00156F4F" w:rsidRDefault="000B0319" w:rsidP="000B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6F4F" w:rsidRPr="00156F4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аспекты реализации трудового законодательства.</w:t>
      </w:r>
    </w:p>
    <w:p w:rsidR="000B0319" w:rsidRPr="000B0319" w:rsidRDefault="000B0319" w:rsidP="000B031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</w:t>
      </w:r>
      <w:r w:rsidRPr="000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0B0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https://www.kdelo.ru/art/384926-sovmestitelstvo-i-sovmeshchenie-17-m11?utm_medium=letter&amp;utm_source=letternews&amp;utm_campaign=letter_KD_news_1_2017_11_27_lnk_6&amp;ustp=F</w:t>
        </w:r>
      </w:hyperlink>
    </w:p>
    <w:p w:rsidR="000B0319" w:rsidRPr="000B0319" w:rsidRDefault="000B0319" w:rsidP="000B03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1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использование материалов допускается только при наличии гиперссылки.</w:t>
      </w:r>
    </w:p>
    <w:p w:rsidR="000B0319" w:rsidRDefault="000B0319" w:rsidP="00156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26" w:rsidRPr="0050542D" w:rsidRDefault="00D33C26" w:rsidP="00D3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ВНУТРЕННЕЕ  СОВМЕСТИТЕЛЬСТВО</w:t>
      </w:r>
    </w:p>
    <w:p w:rsidR="00D33C26" w:rsidRDefault="00D33C26" w:rsidP="00D3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26" w:rsidRDefault="00D33C26" w:rsidP="00D33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50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Сотрудница работает в компании на основном месте в определенной должности с 2003 г. Хотим принять ее в эту же компанию по совместительству на другую должность. Как оформить совместительство: с помощью дополнительного соглашения или нужно заключить с ней новый трудовой договор? Как оформить возвращение сотрудницы к основной работе?</w:t>
      </w:r>
    </w:p>
    <w:p w:rsidR="00D33C26" w:rsidRDefault="00D33C26" w:rsidP="00D3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C26" w:rsidRDefault="00D33C26" w:rsidP="00D33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Ответ:</w:t>
      </w:r>
      <w:r w:rsidRPr="0050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приведенном примере имеет место внутреннее совместительство: выполнение в свободное от основной работы время другой регулярно оплачиваемой работы у того же работодателя на условиях трудового договора (ст. 60.1 ТК РФ). С работником заключается отдельный трудовой договор о работе по совместительству, издается приказ, оформляется личная карточка. По просьбе работника производится запись о совместительстве в трудовой книжке. </w:t>
      </w:r>
    </w:p>
    <w:p w:rsidR="00D33C26" w:rsidRDefault="00D33C26" w:rsidP="00D33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возвращения работника к основным обязанностям, следует сначала определиться, что под этим понимается. Так как работа по совместительству выполняется в свободное от основных обязанностей время, это никак не должно сказываться на основной работе. </w:t>
      </w:r>
    </w:p>
    <w:p w:rsidR="00D33C26" w:rsidRDefault="00D33C26" w:rsidP="00D33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речь идет о прекращении трудового договора по совместительству, то это возможно как по общим основаниям, предусмотренным ТК РФ, так и в случае приема на работу работника, для которого эта работа будет являться основной, при условии, что договор по совместительству был заключен на неопределенный срок (ст. 288 ТК РФ).</w:t>
      </w:r>
    </w:p>
    <w:p w:rsidR="00D33C26" w:rsidRPr="0050542D" w:rsidRDefault="00D33C26" w:rsidP="00D33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в соответствии с </w:t>
      </w:r>
      <w:proofErr w:type="gramStart"/>
      <w:r w:rsidRPr="0050542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0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 59 ТК РФ по соглашению сторон с лицами, поступающими на работу по совместительству, может заключаться срочный трудовой договор. Это дает работодателю право расторгнуть трудовой договор с совместителем по истечении срока, предупредив работника в письменной форме не менее чем за три календарных дня. </w:t>
      </w:r>
    </w:p>
    <w:p w:rsidR="00D33C26" w:rsidRPr="0050542D" w:rsidRDefault="00D33C26" w:rsidP="00877E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Источник:</w:t>
      </w:r>
      <w:r w:rsidRPr="0050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5054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http://www.pro-personal.ru/question/8803-sotrudnitsa-rabotaet-v-kompanii-na-osnovnom-meste-v-opredelennoy-doljnosti-s-2003-g-v?utm_medium=letter&amp;ustp=F&amp;utm_source=letternews&amp;utm_campaign=letternews_pro-personal.ru_PP_vopros2_2016_10_07</w:t>
        </w:r>
      </w:hyperlink>
    </w:p>
    <w:p w:rsidR="00D33C26" w:rsidRPr="0050542D" w:rsidRDefault="00D33C26" w:rsidP="00D33C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использование материалов допускается только при наличии гиперссылки.</w:t>
      </w:r>
    </w:p>
    <w:p w:rsidR="00D33C26" w:rsidRDefault="00D33C26" w:rsidP="00D33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42D">
        <w:rPr>
          <w:rFonts w:ascii="Times New Roman" w:hAnsi="Times New Roman" w:cs="Times New Roman"/>
          <w:sz w:val="28"/>
          <w:szCs w:val="28"/>
        </w:rPr>
        <w:t>Журнал «Справочник кадровика»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3C26" w:rsidRPr="0050542D" w:rsidRDefault="00D33C26" w:rsidP="00D33C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42D">
        <w:rPr>
          <w:rFonts w:ascii="Times New Roman" w:hAnsi="Times New Roman" w:cs="Times New Roman"/>
          <w:sz w:val="28"/>
          <w:szCs w:val="28"/>
        </w:rPr>
        <w:t>reply@mail.pro-personal1.ru</w:t>
      </w:r>
    </w:p>
    <w:p w:rsidR="00D33C26" w:rsidRPr="00156F4F" w:rsidRDefault="00D33C26" w:rsidP="00156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3C26" w:rsidRPr="00156F4F" w:rsidSect="00B3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12FAA"/>
    <w:rsid w:val="000B0319"/>
    <w:rsid w:val="00156F4F"/>
    <w:rsid w:val="004A4393"/>
    <w:rsid w:val="006C7E58"/>
    <w:rsid w:val="007753C7"/>
    <w:rsid w:val="007E30E8"/>
    <w:rsid w:val="00877E70"/>
    <w:rsid w:val="008D5E3F"/>
    <w:rsid w:val="00B12FAA"/>
    <w:rsid w:val="00B33926"/>
    <w:rsid w:val="00B64616"/>
    <w:rsid w:val="00D3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-personal.ru/question/8803-sotrudnitsa-rabotaet-v-kompanii-na-osnovnom-meste-v-opredelennoy-doljnosti-s-2003-g-v?utm_medium=letter&amp;ustp=F&amp;utm_source=letternews&amp;utm_campaign=letternews_pro-personal.ru_PP_vopros2_2016_10_07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kdelo.ru/art/384926-sovmestitelstvo-i-sovmeshchenie-17-m11?utm_medium=letter&amp;utm_source=letternews&amp;utm_campaign=letter_KD_news_1_2017_11_27_lnk_6&amp;ustp=F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602CFA5001B468B10DB5E487B6202" ma:contentTypeVersion="0" ma:contentTypeDescription="Создание документа." ma:contentTypeScope="" ma:versionID="cc89d6ea7185ebdd6e932dc707a2b4d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5A589-3E45-4494-BE30-65DC8987FC07}"/>
</file>

<file path=customXml/itemProps2.xml><?xml version="1.0" encoding="utf-8"?>
<ds:datastoreItem xmlns:ds="http://schemas.openxmlformats.org/officeDocument/2006/customXml" ds:itemID="{3A360D0F-37DC-480D-86D1-B7077A51B9D0}"/>
</file>

<file path=customXml/itemProps3.xml><?xml version="1.0" encoding="utf-8"?>
<ds:datastoreItem xmlns:ds="http://schemas.openxmlformats.org/officeDocument/2006/customXml" ds:itemID="{4E9BE473-60FA-4742-97E0-FE6FD5858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2017-12-11T09:27:00Z</dcterms:created>
  <dcterms:modified xsi:type="dcterms:W3CDTF">2017-12-11T10:57:00Z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0x010100600602CFA5001B468B10DB5E487B6202</vt:lpwstr>
  </property>
</Properties>
</file>