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customXml/itemProps4.xml" ContentType="application/vnd.openxmlformats-officedocument.customXmlProperties+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2D9C7">
      <w:pPr>
        <w:ind w:firstLine="0"/>
        <w:jc w:val="center"/>
        <w:rPr>
          <w:rFonts w:ascii="Times New Roman" w:hAnsi="Times New Roman"/>
          <w:b/>
          <w:sz w:val="28"/>
          <w:szCs w:val="28"/>
        </w:rPr>
      </w:pPr>
      <w:bookmarkStart w:id="88" w:name="_GoBack"/>
      <w:bookmarkEnd w:id="88"/>
    </w:p>
    <w:p w14:paraId="36898F98">
      <w:pPr>
        <w:ind w:firstLine="0"/>
        <w:jc w:val="center"/>
        <w:rPr>
          <w:rFonts w:ascii="Times New Roman" w:hAnsi="Times New Roman"/>
          <w:b/>
          <w:sz w:val="28"/>
          <w:szCs w:val="28"/>
        </w:rPr>
      </w:pPr>
    </w:p>
    <w:p w14:paraId="56568E10">
      <w:pPr>
        <w:ind w:firstLine="0"/>
        <w:jc w:val="center"/>
        <w:rPr>
          <w:rFonts w:ascii="Times New Roman" w:hAnsi="Times New Roman"/>
          <w:b/>
          <w:sz w:val="28"/>
          <w:szCs w:val="28"/>
        </w:rPr>
      </w:pPr>
    </w:p>
    <w:p w14:paraId="5194DF77">
      <w:pPr>
        <w:ind w:firstLine="0"/>
        <w:jc w:val="center"/>
        <w:rPr>
          <w:rFonts w:ascii="Times New Roman" w:hAnsi="Times New Roman"/>
          <w:b/>
          <w:sz w:val="28"/>
          <w:szCs w:val="28"/>
        </w:rPr>
      </w:pPr>
    </w:p>
    <w:p w14:paraId="574DC866">
      <w:pPr>
        <w:ind w:firstLine="0"/>
        <w:jc w:val="center"/>
        <w:rPr>
          <w:rFonts w:ascii="Times New Roman" w:hAnsi="Times New Roman"/>
          <w:b/>
          <w:sz w:val="28"/>
          <w:szCs w:val="28"/>
        </w:rPr>
      </w:pPr>
    </w:p>
    <w:p w14:paraId="5E0DC7AC">
      <w:pPr>
        <w:ind w:firstLine="0"/>
        <w:jc w:val="center"/>
        <w:rPr>
          <w:rFonts w:ascii="Times New Roman" w:hAnsi="Times New Roman"/>
          <w:b/>
          <w:sz w:val="28"/>
          <w:szCs w:val="28"/>
        </w:rPr>
      </w:pPr>
    </w:p>
    <w:p w14:paraId="51B1EA6C">
      <w:pPr>
        <w:ind w:firstLine="0"/>
        <w:jc w:val="center"/>
        <w:rPr>
          <w:rFonts w:ascii="Times New Roman" w:hAnsi="Times New Roman"/>
          <w:b/>
          <w:sz w:val="28"/>
          <w:szCs w:val="28"/>
        </w:rPr>
      </w:pPr>
    </w:p>
    <w:p w14:paraId="317B2261">
      <w:pPr>
        <w:ind w:firstLine="0"/>
        <w:jc w:val="center"/>
        <w:rPr>
          <w:rFonts w:ascii="Times New Roman" w:hAnsi="Times New Roman"/>
          <w:b/>
          <w:sz w:val="28"/>
          <w:szCs w:val="28"/>
        </w:rPr>
      </w:pPr>
    </w:p>
    <w:p w14:paraId="5BE2A15A">
      <w:pPr>
        <w:ind w:firstLine="0"/>
        <w:jc w:val="center"/>
        <w:rPr>
          <w:rFonts w:ascii="Times New Roman" w:hAnsi="Times New Roman"/>
          <w:b/>
          <w:sz w:val="28"/>
          <w:szCs w:val="28"/>
        </w:rPr>
      </w:pPr>
    </w:p>
    <w:p w14:paraId="2054E9CA">
      <w:pPr>
        <w:ind w:firstLine="0"/>
        <w:jc w:val="center"/>
        <w:rPr>
          <w:rFonts w:ascii="Times New Roman" w:hAnsi="Times New Roman"/>
          <w:b/>
          <w:sz w:val="28"/>
          <w:szCs w:val="28"/>
        </w:rPr>
      </w:pPr>
    </w:p>
    <w:p w14:paraId="7499BA07">
      <w:pPr>
        <w:ind w:firstLine="0"/>
        <w:jc w:val="center"/>
        <w:rPr>
          <w:rFonts w:ascii="Times New Roman" w:hAnsi="Times New Roman"/>
          <w:b/>
          <w:sz w:val="28"/>
          <w:szCs w:val="28"/>
        </w:rPr>
      </w:pPr>
    </w:p>
    <w:p w14:paraId="4882A1F8">
      <w:pPr>
        <w:ind w:firstLine="0"/>
        <w:jc w:val="center"/>
        <w:rPr>
          <w:rFonts w:ascii="Times New Roman" w:hAnsi="Times New Roman"/>
          <w:b/>
          <w:sz w:val="28"/>
          <w:szCs w:val="28"/>
        </w:rPr>
      </w:pPr>
    </w:p>
    <w:p w14:paraId="568C71A5">
      <w:pPr>
        <w:ind w:firstLine="0"/>
        <w:jc w:val="center"/>
        <w:rPr>
          <w:rFonts w:ascii="Times New Roman" w:hAnsi="Times New Roman"/>
          <w:b/>
          <w:sz w:val="28"/>
          <w:szCs w:val="28"/>
        </w:rPr>
      </w:pPr>
    </w:p>
    <w:p w14:paraId="64F0BCE0">
      <w:pPr>
        <w:ind w:firstLine="0"/>
        <w:jc w:val="center"/>
        <w:rPr>
          <w:rFonts w:ascii="Times New Roman" w:hAnsi="Times New Roman"/>
          <w:b/>
          <w:sz w:val="28"/>
          <w:szCs w:val="28"/>
        </w:rPr>
      </w:pPr>
    </w:p>
    <w:p w14:paraId="66B448DE">
      <w:pPr>
        <w:ind w:firstLine="0"/>
        <w:jc w:val="center"/>
        <w:rPr>
          <w:rFonts w:ascii="Times New Roman" w:hAnsi="Times New Roman"/>
          <w:b/>
          <w:sz w:val="28"/>
          <w:szCs w:val="28"/>
        </w:rPr>
      </w:pPr>
    </w:p>
    <w:p w14:paraId="23D38EE8">
      <w:pPr>
        <w:ind w:firstLine="0"/>
        <w:jc w:val="center"/>
        <w:rPr>
          <w:rFonts w:ascii="Times New Roman" w:hAnsi="Times New Roman"/>
          <w:b/>
          <w:sz w:val="28"/>
          <w:szCs w:val="28"/>
        </w:rPr>
      </w:pPr>
    </w:p>
    <w:p w14:paraId="061E1B8D">
      <w:pPr>
        <w:ind w:firstLine="0"/>
        <w:jc w:val="center"/>
        <w:rPr>
          <w:rFonts w:ascii="Times New Roman" w:hAnsi="Times New Roman"/>
          <w:b/>
          <w:sz w:val="28"/>
          <w:szCs w:val="28"/>
        </w:rPr>
      </w:pPr>
    </w:p>
    <w:p w14:paraId="10354D62">
      <w:pPr>
        <w:ind w:firstLine="0"/>
        <w:jc w:val="center"/>
        <w:rPr>
          <w:rFonts w:ascii="Times New Roman" w:hAnsi="Times New Roman"/>
          <w:b/>
          <w:sz w:val="28"/>
          <w:szCs w:val="28"/>
        </w:rPr>
      </w:pPr>
      <w:r>
        <w:rPr>
          <w:rFonts w:ascii="Times New Roman" w:hAnsi="Times New Roman"/>
          <w:b/>
          <w:sz w:val="28"/>
          <w:szCs w:val="28"/>
        </w:rPr>
        <w:t>МЕТОДИЧЕСКИЕ РЕКОМЕНДАЦИИ</w:t>
      </w:r>
    </w:p>
    <w:p w14:paraId="67E66A76">
      <w:pPr>
        <w:ind w:firstLine="0"/>
        <w:jc w:val="center"/>
        <w:rPr>
          <w:rFonts w:ascii="Times New Roman" w:hAnsi="Times New Roman"/>
          <w:b/>
          <w:sz w:val="28"/>
          <w:szCs w:val="28"/>
        </w:rPr>
      </w:pPr>
      <w:r>
        <w:rPr>
          <w:rFonts w:ascii="Times New Roman" w:hAnsi="Times New Roman"/>
          <w:b/>
          <w:sz w:val="28"/>
          <w:szCs w:val="28"/>
        </w:rPr>
        <w:t>ПО ВОПРОСАМ ПРЕДСТАВЛЕНИЯ СВЕДЕНИЙ</w:t>
      </w:r>
    </w:p>
    <w:p w14:paraId="0D8F241C">
      <w:pPr>
        <w:ind w:firstLine="0"/>
        <w:jc w:val="center"/>
        <w:rPr>
          <w:rFonts w:ascii="Times New Roman" w:hAnsi="Times New Roman"/>
          <w:b/>
          <w:sz w:val="28"/>
          <w:szCs w:val="28"/>
        </w:rPr>
      </w:pPr>
      <w:r>
        <w:rPr>
          <w:rFonts w:ascii="Times New Roman" w:hAnsi="Times New Roman"/>
          <w:b/>
          <w:sz w:val="28"/>
          <w:szCs w:val="28"/>
        </w:rPr>
        <w:t xml:space="preserve">О ДОХОДАХ, РАСХОДАХ, ОБ ИМУЩЕСТВЕ И ОБЯЗАТЕЛЬСТВАХ ИМУЩЕСТВЕННОГО ХАРАКТЕРА </w:t>
      </w:r>
    </w:p>
    <w:p w14:paraId="47690796">
      <w:pPr>
        <w:ind w:firstLine="0"/>
        <w:jc w:val="center"/>
        <w:rPr>
          <w:rFonts w:ascii="Times New Roman" w:hAnsi="Times New Roman"/>
          <w:b/>
          <w:sz w:val="28"/>
          <w:szCs w:val="28"/>
        </w:rPr>
      </w:pPr>
      <w:r>
        <w:rPr>
          <w:rFonts w:ascii="Times New Roman" w:hAnsi="Times New Roman"/>
          <w:b/>
          <w:sz w:val="28"/>
          <w:szCs w:val="28"/>
        </w:rPr>
        <w:t xml:space="preserve">И ЗАПОЛНЕНИЯ СООТВЕТСТВУЮЩЕЙ ФОРМЫ СПРАВКИ </w:t>
      </w:r>
    </w:p>
    <w:p w14:paraId="2354CEED">
      <w:pPr>
        <w:ind w:firstLine="0"/>
        <w:jc w:val="center"/>
        <w:rPr>
          <w:rFonts w:ascii="Times New Roman" w:hAnsi="Times New Roman"/>
          <w:sz w:val="28"/>
          <w:szCs w:val="28"/>
        </w:rPr>
      </w:pPr>
      <w:r>
        <w:rPr>
          <w:rFonts w:ascii="Times New Roman" w:hAnsi="Times New Roman"/>
          <w:sz w:val="28"/>
          <w:szCs w:val="28"/>
        </w:rPr>
        <w:t>в 2026 году (за отчетный 2025 год)</w:t>
      </w:r>
    </w:p>
    <w:p w14:paraId="1CCFF9DE">
      <w:pPr>
        <w:ind w:firstLine="0"/>
        <w:jc w:val="left"/>
        <w:rPr>
          <w:rFonts w:ascii="Times New Roman" w:hAnsi="Times New Roman"/>
          <w:sz w:val="28"/>
          <w:szCs w:val="28"/>
        </w:rPr>
      </w:pPr>
      <w:r>
        <w:rPr>
          <w:rFonts w:ascii="Times New Roman" w:hAnsi="Times New Roman"/>
          <w:sz w:val="28"/>
          <w:szCs w:val="28"/>
        </w:rPr>
        <w:br w:type="page"/>
      </w:r>
    </w:p>
    <w:sdt>
      <w:sdtPr>
        <w:rPr>
          <w:sz w:val="22"/>
          <w:szCs w:val="22"/>
          <w:lang w:eastAsia="en-US"/>
        </w:rPr>
        <w:id w:val="-1433654756"/>
        <w:docPartObj>
          <w:docPartGallery w:val="Table of Contents"/>
          <w:docPartUnique/>
        </w:docPartObj>
      </w:sdtPr>
      <w:sdtEndPr>
        <w:rPr>
          <w:rFonts w:ascii="Times New Roman" w:hAnsi="Times New Roman"/>
          <w:bCs/>
          <w:sz w:val="28"/>
          <w:szCs w:val="28"/>
          <w:lang w:eastAsia="en-US"/>
        </w:rPr>
      </w:sdtEndPr>
      <w:sdtContent>
        <w:p w14:paraId="537F736C">
          <w:pPr>
            <w:pStyle w:val="187"/>
            <w:rPr>
              <w:rFonts w:ascii="Times New Roman" w:hAnsi="Times New Roman"/>
              <w:sz w:val="28"/>
              <w:szCs w:val="28"/>
              <w:lang w:eastAsia="en-US"/>
            </w:rPr>
          </w:pPr>
          <w:r>
            <w:rPr>
              <w:rFonts w:ascii="Times New Roman" w:hAnsi="Times New Roman"/>
              <w:sz w:val="28"/>
              <w:szCs w:val="28"/>
              <w:lang w:eastAsia="en-US"/>
            </w:rPr>
            <w:t>Содержание</w:t>
          </w:r>
        </w:p>
        <w:p w14:paraId="41A36E6E">
          <w:pPr>
            <w:pStyle w:val="29"/>
            <w:tabs>
              <w:tab w:val="right" w:leader="dot" w:pos="10195"/>
            </w:tabs>
            <w:rPr>
              <w:rFonts w:ascii="Times New Roman" w:hAnsi="Times New Roman" w:eastAsiaTheme="minorEastAsia"/>
              <w:sz w:val="28"/>
              <w:szCs w:val="28"/>
              <w:lang w:eastAsia="ru-RU"/>
            </w:rPr>
          </w:pPr>
          <w:r>
            <w:rPr>
              <w:rFonts w:ascii="Times New Roman" w:hAnsi="Times New Roman"/>
              <w:bCs/>
              <w:sz w:val="28"/>
              <w:szCs w:val="28"/>
            </w:rPr>
            <w:fldChar w:fldCharType="begin"/>
          </w:r>
          <w:r>
            <w:rPr>
              <w:rFonts w:ascii="Times New Roman" w:hAnsi="Times New Roman"/>
              <w:bCs/>
              <w:sz w:val="28"/>
              <w:szCs w:val="28"/>
            </w:rPr>
            <w:instrText xml:space="preserve"> TOC \o "1-3" \h \z \u </w:instrText>
          </w:r>
          <w:r>
            <w:rPr>
              <w:rFonts w:ascii="Times New Roman" w:hAnsi="Times New Roman"/>
              <w:bCs/>
              <w:sz w:val="28"/>
              <w:szCs w:val="28"/>
            </w:rPr>
            <w:fldChar w:fldCharType="separate"/>
          </w:r>
          <w:r>
            <w:fldChar w:fldCharType="begin"/>
          </w:r>
          <w:r>
            <w:instrText xml:space="preserve"> HYPERLINK \l "_Toc225936053" </w:instrText>
          </w:r>
          <w:r>
            <w:fldChar w:fldCharType="separate"/>
          </w:r>
          <w:r>
            <w:rPr>
              <w:rStyle w:val="17"/>
              <w:rFonts w:ascii="Times New Roman" w:hAnsi="Times New Roman"/>
              <w:sz w:val="28"/>
              <w:szCs w:val="28"/>
            </w:rPr>
            <w:t>Введение</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_Toc225936053 \h </w:instrText>
          </w:r>
          <w:r>
            <w:rPr>
              <w:rFonts w:ascii="Times New Roman" w:hAnsi="Times New Roman"/>
              <w:sz w:val="28"/>
              <w:szCs w:val="28"/>
            </w:rPr>
            <w:fldChar w:fldCharType="separate"/>
          </w:r>
          <w:r>
            <w:rPr>
              <w:rFonts w:ascii="Times New Roman" w:hAnsi="Times New Roman"/>
              <w:sz w:val="28"/>
              <w:szCs w:val="28"/>
            </w:rPr>
            <w:t>4</w:t>
          </w:r>
          <w:r>
            <w:rPr>
              <w:rFonts w:ascii="Times New Roman" w:hAnsi="Times New Roman"/>
              <w:sz w:val="28"/>
              <w:szCs w:val="28"/>
            </w:rPr>
            <w:fldChar w:fldCharType="end"/>
          </w:r>
          <w:r>
            <w:rPr>
              <w:rFonts w:ascii="Times New Roman" w:hAnsi="Times New Roman"/>
              <w:sz w:val="28"/>
              <w:szCs w:val="28"/>
            </w:rPr>
            <w:fldChar w:fldCharType="end"/>
          </w:r>
        </w:p>
        <w:p w14:paraId="35D04FB2">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"_Toc225936054" </w:instrText>
          </w:r>
          <w:r>
            <w:fldChar w:fldCharType="separate"/>
          </w:r>
          <w:r>
            <w:rPr>
              <w:rStyle w:val="17"/>
              <w:rFonts w:ascii="Times New Roman" w:hAnsi="Times New Roman"/>
              <w:sz w:val="28"/>
              <w:szCs w:val="28"/>
            </w:rPr>
            <w:t>Лица, обязанные представлять сведения о доходах, расходах, об имуществе и обязательствах имущественного характера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_Toc225936054 \h </w:instrText>
          </w:r>
          <w:r>
            <w:rPr>
              <w:rFonts w:ascii="Times New Roman" w:hAnsi="Times New Roman"/>
              <w:sz w:val="28"/>
              <w:szCs w:val="28"/>
            </w:rPr>
            <w:fldChar w:fldCharType="separate"/>
          </w:r>
          <w:r>
            <w:rPr>
              <w:rFonts w:ascii="Times New Roman" w:hAnsi="Times New Roman"/>
              <w:sz w:val="28"/>
              <w:szCs w:val="28"/>
            </w:rPr>
            <w:t>6</w:t>
          </w:r>
          <w:r>
            <w:rPr>
              <w:rFonts w:ascii="Times New Roman" w:hAnsi="Times New Roman"/>
              <w:sz w:val="28"/>
              <w:szCs w:val="28"/>
            </w:rPr>
            <w:fldChar w:fldCharType="end"/>
          </w:r>
          <w:r>
            <w:rPr>
              <w:rFonts w:ascii="Times New Roman" w:hAnsi="Times New Roman"/>
              <w:sz w:val="28"/>
              <w:szCs w:val="28"/>
            </w:rPr>
            <w:fldChar w:fldCharType="end"/>
          </w:r>
        </w:p>
        <w:p w14:paraId="138E426C">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"_Toc225936055" </w:instrText>
          </w:r>
          <w:r>
            <w:fldChar w:fldCharType="separate"/>
          </w:r>
          <w:r>
            <w:rPr>
              <w:rStyle w:val="17"/>
              <w:rFonts w:ascii="Times New Roman" w:hAnsi="Times New Roman"/>
              <w:sz w:val="28"/>
              <w:szCs w:val="28"/>
            </w:rPr>
            <w:t>Обязательность представления Сведений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_Toc225936055 \h </w:instrText>
          </w:r>
          <w:r>
            <w:rPr>
              <w:rFonts w:ascii="Times New Roman" w:hAnsi="Times New Roman"/>
              <w:sz w:val="28"/>
              <w:szCs w:val="28"/>
            </w:rPr>
            <w:fldChar w:fldCharType="separate"/>
          </w:r>
          <w:r>
            <w:rPr>
              <w:rFonts w:ascii="Times New Roman" w:hAnsi="Times New Roman"/>
              <w:sz w:val="28"/>
              <w:szCs w:val="28"/>
            </w:rPr>
            <w:t>8</w:t>
          </w:r>
          <w:r>
            <w:rPr>
              <w:rFonts w:ascii="Times New Roman" w:hAnsi="Times New Roman"/>
              <w:sz w:val="28"/>
              <w:szCs w:val="28"/>
            </w:rPr>
            <w:fldChar w:fldCharType="end"/>
          </w:r>
          <w:r>
            <w:rPr>
              <w:rFonts w:ascii="Times New Roman" w:hAnsi="Times New Roman"/>
              <w:sz w:val="28"/>
              <w:szCs w:val="28"/>
            </w:rPr>
            <w:fldChar w:fldCharType="end"/>
          </w:r>
        </w:p>
        <w:p w14:paraId="5396EC25">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"_Toc225936056" </w:instrText>
          </w:r>
          <w:r>
            <w:fldChar w:fldCharType="separate"/>
          </w:r>
          <w:r>
            <w:rPr>
              <w:rStyle w:val="17"/>
              <w:rFonts w:ascii="Times New Roman" w:hAnsi="Times New Roman"/>
              <w:sz w:val="28"/>
              <w:szCs w:val="28"/>
            </w:rPr>
            <w:t>Сроки представления Сведений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_Toc225936056 \h </w:instrText>
          </w:r>
          <w:r>
            <w:rPr>
              <w:rFonts w:ascii="Times New Roman" w:hAnsi="Times New Roman"/>
              <w:sz w:val="28"/>
              <w:szCs w:val="28"/>
            </w:rPr>
            <w:fldChar w:fldCharType="separate"/>
          </w:r>
          <w:r>
            <w:rPr>
              <w:rFonts w:ascii="Times New Roman" w:hAnsi="Times New Roman"/>
              <w:sz w:val="28"/>
              <w:szCs w:val="28"/>
            </w:rPr>
            <w:t>11</w:t>
          </w:r>
          <w:r>
            <w:rPr>
              <w:rFonts w:ascii="Times New Roman" w:hAnsi="Times New Roman"/>
              <w:sz w:val="28"/>
              <w:szCs w:val="28"/>
            </w:rPr>
            <w:fldChar w:fldCharType="end"/>
          </w:r>
          <w:r>
            <w:rPr>
              <w:rFonts w:ascii="Times New Roman" w:hAnsi="Times New Roman"/>
              <w:sz w:val="28"/>
              <w:szCs w:val="28"/>
            </w:rPr>
            <w:fldChar w:fldCharType="end"/>
          </w:r>
        </w:p>
        <w:p w14:paraId="5FEE2925">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"_Toc225936057" </w:instrText>
          </w:r>
          <w:r>
            <w:fldChar w:fldCharType="separate"/>
          </w:r>
          <w:r>
            <w:rPr>
              <w:rStyle w:val="17"/>
              <w:rFonts w:ascii="Times New Roman" w:hAnsi="Times New Roman"/>
              <w:sz w:val="28"/>
              <w:szCs w:val="28"/>
            </w:rPr>
            <w:t>Лица, в отношении которых представляются Сведения</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_Toc225936057 \h </w:instrText>
          </w:r>
          <w:r>
            <w:rPr>
              <w:rFonts w:ascii="Times New Roman" w:hAnsi="Times New Roman"/>
              <w:sz w:val="28"/>
              <w:szCs w:val="28"/>
            </w:rPr>
            <w:fldChar w:fldCharType="separate"/>
          </w:r>
          <w:r>
            <w:rPr>
              <w:rFonts w:ascii="Times New Roman" w:hAnsi="Times New Roman"/>
              <w:sz w:val="28"/>
              <w:szCs w:val="28"/>
            </w:rPr>
            <w:t>12</w:t>
          </w:r>
          <w:r>
            <w:rPr>
              <w:rFonts w:ascii="Times New Roman" w:hAnsi="Times New Roman"/>
              <w:sz w:val="28"/>
              <w:szCs w:val="28"/>
            </w:rPr>
            <w:fldChar w:fldCharType="end"/>
          </w:r>
          <w:r>
            <w:rPr>
              <w:rFonts w:ascii="Times New Roman" w:hAnsi="Times New Roman"/>
              <w:sz w:val="28"/>
              <w:szCs w:val="28"/>
            </w:rPr>
            <w:fldChar w:fldCharType="end"/>
          </w:r>
        </w:p>
        <w:p w14:paraId="4EAD6B40">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"_Toc225936058" </w:instrText>
          </w:r>
          <w:r>
            <w:fldChar w:fldCharType="separate"/>
          </w:r>
          <w:r>
            <w:rPr>
              <w:rStyle w:val="17"/>
              <w:rFonts w:ascii="Times New Roman" w:hAnsi="Times New Roman"/>
              <w:sz w:val="28"/>
              <w:szCs w:val="28"/>
            </w:rPr>
            <w:t>Отчетный период и отчетная дата представления Сведений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_Toc225936058 \h </w:instrText>
          </w:r>
          <w:r>
            <w:rPr>
              <w:rFonts w:ascii="Times New Roman" w:hAnsi="Times New Roman"/>
              <w:sz w:val="28"/>
              <w:szCs w:val="28"/>
            </w:rPr>
            <w:fldChar w:fldCharType="separate"/>
          </w:r>
          <w:r>
            <w:rPr>
              <w:rFonts w:ascii="Times New Roman" w:hAnsi="Times New Roman"/>
              <w:sz w:val="28"/>
              <w:szCs w:val="28"/>
            </w:rPr>
            <w:t>12</w:t>
          </w:r>
          <w:r>
            <w:rPr>
              <w:rFonts w:ascii="Times New Roman" w:hAnsi="Times New Roman"/>
              <w:sz w:val="28"/>
              <w:szCs w:val="28"/>
            </w:rPr>
            <w:fldChar w:fldCharType="end"/>
          </w:r>
          <w:r>
            <w:rPr>
              <w:rFonts w:ascii="Times New Roman" w:hAnsi="Times New Roman"/>
              <w:sz w:val="28"/>
              <w:szCs w:val="28"/>
            </w:rPr>
            <w:fldChar w:fldCharType="end"/>
          </w:r>
        </w:p>
        <w:p w14:paraId="6DF844EC">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"_Toc225936059" </w:instrText>
          </w:r>
          <w:r>
            <w:fldChar w:fldCharType="separate"/>
          </w:r>
          <w:r>
            <w:rPr>
              <w:rStyle w:val="17"/>
              <w:rFonts w:ascii="Times New Roman" w:hAnsi="Times New Roman"/>
              <w:sz w:val="28"/>
              <w:szCs w:val="28"/>
            </w:rPr>
            <w:t>Замещение конкретной должности на отчетную дату как основание для представления Сведений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_Toc225936059 \h </w:instrText>
          </w:r>
          <w:r>
            <w:rPr>
              <w:rFonts w:ascii="Times New Roman" w:hAnsi="Times New Roman"/>
              <w:sz w:val="28"/>
              <w:szCs w:val="28"/>
            </w:rPr>
            <w:fldChar w:fldCharType="separate"/>
          </w:r>
          <w:r>
            <w:rPr>
              <w:rFonts w:ascii="Times New Roman" w:hAnsi="Times New Roman"/>
              <w:sz w:val="28"/>
              <w:szCs w:val="28"/>
            </w:rPr>
            <w:t>14</w:t>
          </w:r>
          <w:r>
            <w:rPr>
              <w:rFonts w:ascii="Times New Roman" w:hAnsi="Times New Roman"/>
              <w:sz w:val="28"/>
              <w:szCs w:val="28"/>
            </w:rPr>
            <w:fldChar w:fldCharType="end"/>
          </w:r>
          <w:r>
            <w:rPr>
              <w:rFonts w:ascii="Times New Roman" w:hAnsi="Times New Roman"/>
              <w:sz w:val="28"/>
              <w:szCs w:val="28"/>
            </w:rPr>
            <w:fldChar w:fldCharType="end"/>
          </w:r>
        </w:p>
        <w:p w14:paraId="6879074B">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"_Toc225936060" </w:instrText>
          </w:r>
          <w:r>
            <w:fldChar w:fldCharType="separate"/>
          </w:r>
          <w:r>
            <w:rPr>
              <w:rStyle w:val="17"/>
              <w:rFonts w:ascii="Times New Roman" w:hAnsi="Times New Roman"/>
              <w:sz w:val="28"/>
              <w:szCs w:val="28"/>
            </w:rPr>
            <w:t>Определение круга лиц (членов семьи), в отношении которых необходимо представить Сведения</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_Toc225936060 \h </w:instrText>
          </w:r>
          <w:r>
            <w:rPr>
              <w:rFonts w:ascii="Times New Roman" w:hAnsi="Times New Roman"/>
              <w:sz w:val="28"/>
              <w:szCs w:val="28"/>
            </w:rPr>
            <w:fldChar w:fldCharType="separate"/>
          </w:r>
          <w:r>
            <w:rPr>
              <w:rFonts w:ascii="Times New Roman" w:hAnsi="Times New Roman"/>
              <w:sz w:val="28"/>
              <w:szCs w:val="28"/>
            </w:rPr>
            <w:t>14</w:t>
          </w:r>
          <w:r>
            <w:rPr>
              <w:rFonts w:ascii="Times New Roman" w:hAnsi="Times New Roman"/>
              <w:sz w:val="28"/>
              <w:szCs w:val="28"/>
            </w:rPr>
            <w:fldChar w:fldCharType="end"/>
          </w:r>
          <w:r>
            <w:rPr>
              <w:rFonts w:ascii="Times New Roman" w:hAnsi="Times New Roman"/>
              <w:sz w:val="28"/>
              <w:szCs w:val="28"/>
            </w:rPr>
            <w:fldChar w:fldCharType="end"/>
          </w:r>
        </w:p>
        <w:p w14:paraId="0619C84D">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"_Toc225936061" </w:instrText>
          </w:r>
          <w:r>
            <w:fldChar w:fldCharType="separate"/>
          </w:r>
          <w:r>
            <w:rPr>
              <w:rStyle w:val="17"/>
              <w:rFonts w:ascii="Times New Roman" w:hAnsi="Times New Roman"/>
              <w:sz w:val="28"/>
              <w:szCs w:val="28"/>
            </w:rPr>
            <w:t>Супруги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_Toc225936061 \h </w:instrText>
          </w:r>
          <w:r>
            <w:rPr>
              <w:rFonts w:ascii="Times New Roman" w:hAnsi="Times New Roman"/>
              <w:sz w:val="28"/>
              <w:szCs w:val="28"/>
            </w:rPr>
            <w:fldChar w:fldCharType="separate"/>
          </w:r>
          <w:r>
            <w:rPr>
              <w:rFonts w:ascii="Times New Roman" w:hAnsi="Times New Roman"/>
              <w:sz w:val="28"/>
              <w:szCs w:val="28"/>
            </w:rPr>
            <w:t>14</w:t>
          </w:r>
          <w:r>
            <w:rPr>
              <w:rFonts w:ascii="Times New Roman" w:hAnsi="Times New Roman"/>
              <w:sz w:val="28"/>
              <w:szCs w:val="28"/>
            </w:rPr>
            <w:fldChar w:fldCharType="end"/>
          </w:r>
          <w:r>
            <w:rPr>
              <w:rFonts w:ascii="Times New Roman" w:hAnsi="Times New Roman"/>
              <w:sz w:val="28"/>
              <w:szCs w:val="28"/>
            </w:rPr>
            <w:fldChar w:fldCharType="end"/>
          </w:r>
        </w:p>
        <w:p w14:paraId="2625F5B6">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"_Toc225936062" </w:instrText>
          </w:r>
          <w:r>
            <w:fldChar w:fldCharType="separate"/>
          </w:r>
          <w:r>
            <w:rPr>
              <w:rStyle w:val="17"/>
              <w:rFonts w:ascii="Times New Roman" w:hAnsi="Times New Roman"/>
              <w:sz w:val="28"/>
              <w:szCs w:val="28"/>
            </w:rPr>
            <w:t>Несовершеннолетние дети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_Toc225936062 \h </w:instrText>
          </w:r>
          <w:r>
            <w:rPr>
              <w:rFonts w:ascii="Times New Roman" w:hAnsi="Times New Roman"/>
              <w:sz w:val="28"/>
              <w:szCs w:val="28"/>
            </w:rPr>
            <w:fldChar w:fldCharType="separate"/>
          </w:r>
          <w:r>
            <w:rPr>
              <w:rFonts w:ascii="Times New Roman" w:hAnsi="Times New Roman"/>
              <w:sz w:val="28"/>
              <w:szCs w:val="28"/>
            </w:rPr>
            <w:t>17</w:t>
          </w:r>
          <w:r>
            <w:rPr>
              <w:rFonts w:ascii="Times New Roman" w:hAnsi="Times New Roman"/>
              <w:sz w:val="28"/>
              <w:szCs w:val="28"/>
            </w:rPr>
            <w:fldChar w:fldCharType="end"/>
          </w:r>
          <w:r>
            <w:rPr>
              <w:rFonts w:ascii="Times New Roman" w:hAnsi="Times New Roman"/>
              <w:sz w:val="28"/>
              <w:szCs w:val="28"/>
            </w:rPr>
            <w:fldChar w:fldCharType="end"/>
          </w:r>
        </w:p>
        <w:p w14:paraId="19500263">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"_Toc225936063" </w:instrText>
          </w:r>
          <w:r>
            <w:fldChar w:fldCharType="separate"/>
          </w:r>
          <w:r>
            <w:rPr>
              <w:rStyle w:val="17"/>
              <w:rFonts w:ascii="Times New Roman" w:hAnsi="Times New Roman"/>
              <w:sz w:val="28"/>
              <w:szCs w:val="28"/>
            </w:rPr>
            <w:t>Уточнение представленных Сведений</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_Toc225936063 \h </w:instrText>
          </w:r>
          <w:r>
            <w:rPr>
              <w:rFonts w:ascii="Times New Roman" w:hAnsi="Times New Roman"/>
              <w:sz w:val="28"/>
              <w:szCs w:val="28"/>
            </w:rPr>
            <w:fldChar w:fldCharType="separate"/>
          </w:r>
          <w:r>
            <w:rPr>
              <w:rFonts w:ascii="Times New Roman" w:hAnsi="Times New Roman"/>
              <w:sz w:val="28"/>
              <w:szCs w:val="28"/>
            </w:rPr>
            <w:t>18</w:t>
          </w:r>
          <w:r>
            <w:rPr>
              <w:rFonts w:ascii="Times New Roman" w:hAnsi="Times New Roman"/>
              <w:sz w:val="28"/>
              <w:szCs w:val="28"/>
            </w:rPr>
            <w:fldChar w:fldCharType="end"/>
          </w:r>
          <w:r>
            <w:rPr>
              <w:rFonts w:ascii="Times New Roman" w:hAnsi="Times New Roman"/>
              <w:sz w:val="28"/>
              <w:szCs w:val="28"/>
            </w:rPr>
            <w:fldChar w:fldCharType="end"/>
          </w:r>
        </w:p>
        <w:p w14:paraId="2D785D71">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"_Toc225936064" </w:instrText>
          </w:r>
          <w:r>
            <w:fldChar w:fldCharType="separate"/>
          </w:r>
          <w:r>
            <w:rPr>
              <w:rStyle w:val="17"/>
              <w:rFonts w:ascii="Times New Roman" w:hAnsi="Times New Roman"/>
              <w:sz w:val="28"/>
              <w:szCs w:val="28"/>
            </w:rPr>
            <w:t>Рекомендуемые действия при невозможности по объективным причинам представить Сведения в отношении члена семьи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_Toc225936064 \h </w:instrText>
          </w:r>
          <w:r>
            <w:rPr>
              <w:rFonts w:ascii="Times New Roman" w:hAnsi="Times New Roman"/>
              <w:sz w:val="28"/>
              <w:szCs w:val="28"/>
            </w:rPr>
            <w:fldChar w:fldCharType="separate"/>
          </w:r>
          <w:r>
            <w:rPr>
              <w:rFonts w:ascii="Times New Roman" w:hAnsi="Times New Roman"/>
              <w:sz w:val="28"/>
              <w:szCs w:val="28"/>
            </w:rPr>
            <w:t>18</w:t>
          </w:r>
          <w:r>
            <w:rPr>
              <w:rFonts w:ascii="Times New Roman" w:hAnsi="Times New Roman"/>
              <w:sz w:val="28"/>
              <w:szCs w:val="28"/>
            </w:rPr>
            <w:fldChar w:fldCharType="end"/>
          </w:r>
          <w:r>
            <w:rPr>
              <w:rFonts w:ascii="Times New Roman" w:hAnsi="Times New Roman"/>
              <w:sz w:val="28"/>
              <w:szCs w:val="28"/>
            </w:rPr>
            <w:fldChar w:fldCharType="end"/>
          </w:r>
        </w:p>
        <w:p w14:paraId="7DA58AD8">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"_Toc225936065" </w:instrText>
          </w:r>
          <w:r>
            <w:fldChar w:fldCharType="separate"/>
          </w:r>
          <w:r>
            <w:rPr>
              <w:rStyle w:val="17"/>
              <w:rFonts w:ascii="Times New Roman" w:hAnsi="Times New Roman"/>
              <w:sz w:val="28"/>
              <w:szCs w:val="28"/>
            </w:rPr>
            <w:t>Рекомендуемые действия при невозможности представить Сведения вследствие не зависящих от служащего (работника) обстоятельств</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_Toc225936065 \h </w:instrText>
          </w:r>
          <w:r>
            <w:rPr>
              <w:rFonts w:ascii="Times New Roman" w:hAnsi="Times New Roman"/>
              <w:sz w:val="28"/>
              <w:szCs w:val="28"/>
            </w:rPr>
            <w:fldChar w:fldCharType="separate"/>
          </w:r>
          <w:r>
            <w:rPr>
              <w:rFonts w:ascii="Times New Roman" w:hAnsi="Times New Roman"/>
              <w:sz w:val="28"/>
              <w:szCs w:val="28"/>
            </w:rPr>
            <w:t>22</w:t>
          </w:r>
          <w:r>
            <w:rPr>
              <w:rFonts w:ascii="Times New Roman" w:hAnsi="Times New Roman"/>
              <w:sz w:val="28"/>
              <w:szCs w:val="28"/>
            </w:rPr>
            <w:fldChar w:fldCharType="end"/>
          </w:r>
          <w:r>
            <w:rPr>
              <w:rFonts w:ascii="Times New Roman" w:hAnsi="Times New Roman"/>
              <w:sz w:val="28"/>
              <w:szCs w:val="28"/>
            </w:rPr>
            <w:fldChar w:fldCharType="end"/>
          </w:r>
        </w:p>
        <w:p w14:paraId="52CC75A8">
          <w:pPr>
            <w:pStyle w:val="29"/>
            <w:tabs>
              <w:tab w:val="right" w:leader="dot" w:pos="10195"/>
            </w:tabs>
            <w:rPr>
              <w:rFonts w:ascii="Times New Roman" w:hAnsi="Times New Roman" w:eastAsiaTheme="minorEastAsia"/>
              <w:sz w:val="28"/>
              <w:szCs w:val="28"/>
              <w:lang w:eastAsia="ru-RU"/>
            </w:rPr>
          </w:pPr>
          <w:r>
            <w:fldChar w:fldCharType="begin"/>
          </w:r>
          <w:r>
            <w:instrText xml:space="preserve"> HYPERLINK \l "_Toc225936066" </w:instrText>
          </w:r>
          <w:r>
            <w:fldChar w:fldCharType="separate"/>
          </w:r>
          <w:r>
            <w:rPr>
              <w:rStyle w:val="17"/>
              <w:rFonts w:ascii="Times New Roman" w:hAnsi="Times New Roman"/>
              <w:sz w:val="28"/>
              <w:szCs w:val="28"/>
              <w:lang w:val="en-US"/>
            </w:rPr>
            <w:t>II</w:t>
          </w:r>
          <w:r>
            <w:rPr>
              <w:rStyle w:val="17"/>
              <w:rFonts w:ascii="Times New Roman" w:hAnsi="Times New Roman"/>
              <w:sz w:val="28"/>
              <w:szCs w:val="28"/>
            </w:rPr>
            <w:t>. Заполнение справки о доходах, расходах,  об имуществе и обязательствах имущественного характера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_Toc225936066 \h </w:instrText>
          </w:r>
          <w:r>
            <w:rPr>
              <w:rFonts w:ascii="Times New Roman" w:hAnsi="Times New Roman"/>
              <w:sz w:val="28"/>
              <w:szCs w:val="28"/>
            </w:rPr>
            <w:fldChar w:fldCharType="separate"/>
          </w:r>
          <w:r>
            <w:rPr>
              <w:rFonts w:ascii="Times New Roman" w:hAnsi="Times New Roman"/>
              <w:sz w:val="28"/>
              <w:szCs w:val="28"/>
            </w:rPr>
            <w:t>22</w:t>
          </w:r>
          <w:r>
            <w:rPr>
              <w:rFonts w:ascii="Times New Roman" w:hAnsi="Times New Roman"/>
              <w:sz w:val="28"/>
              <w:szCs w:val="28"/>
            </w:rPr>
            <w:fldChar w:fldCharType="end"/>
          </w:r>
          <w:r>
            <w:rPr>
              <w:rFonts w:ascii="Times New Roman" w:hAnsi="Times New Roman"/>
              <w:sz w:val="28"/>
              <w:szCs w:val="28"/>
            </w:rPr>
            <w:fldChar w:fldCharType="end"/>
          </w:r>
        </w:p>
        <w:p w14:paraId="08CA8B2C">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"_Toc225936067" </w:instrText>
          </w:r>
          <w:r>
            <w:fldChar w:fldCharType="separate"/>
          </w:r>
          <w:r>
            <w:rPr>
              <w:rStyle w:val="17"/>
              <w:rFonts w:ascii="Times New Roman" w:hAnsi="Times New Roman"/>
              <w:sz w:val="28"/>
              <w:szCs w:val="28"/>
            </w:rPr>
            <w:t>ТИТУЛЬНЫЙ ЛИСТ</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_Toc225936067 \h </w:instrText>
          </w:r>
          <w:r>
            <w:rPr>
              <w:rFonts w:ascii="Times New Roman" w:hAnsi="Times New Roman"/>
              <w:sz w:val="28"/>
              <w:szCs w:val="28"/>
            </w:rPr>
            <w:fldChar w:fldCharType="separate"/>
          </w:r>
          <w:r>
            <w:rPr>
              <w:rFonts w:ascii="Times New Roman" w:hAnsi="Times New Roman"/>
              <w:sz w:val="28"/>
              <w:szCs w:val="28"/>
            </w:rPr>
            <w:t>25</w:t>
          </w:r>
          <w:r>
            <w:rPr>
              <w:rFonts w:ascii="Times New Roman" w:hAnsi="Times New Roman"/>
              <w:sz w:val="28"/>
              <w:szCs w:val="28"/>
            </w:rPr>
            <w:fldChar w:fldCharType="end"/>
          </w:r>
          <w:r>
            <w:rPr>
              <w:rFonts w:ascii="Times New Roman" w:hAnsi="Times New Roman"/>
              <w:sz w:val="28"/>
              <w:szCs w:val="28"/>
            </w:rPr>
            <w:fldChar w:fldCharType="end"/>
          </w:r>
        </w:p>
        <w:p w14:paraId="5D49C1FE">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"_Toc225936068" </w:instrText>
          </w:r>
          <w:r>
            <w:fldChar w:fldCharType="separate"/>
          </w:r>
          <w:r>
            <w:rPr>
              <w:rStyle w:val="17"/>
              <w:rFonts w:ascii="Times New Roman" w:hAnsi="Times New Roman"/>
              <w:sz w:val="28"/>
              <w:szCs w:val="28"/>
            </w:rPr>
            <w:t>РАЗДЕЛ 1. СВЕДЕНИЯ О ДОХОДАХ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_Toc225936068 \h </w:instrText>
          </w:r>
          <w:r>
            <w:rPr>
              <w:rFonts w:ascii="Times New Roman" w:hAnsi="Times New Roman"/>
              <w:sz w:val="28"/>
              <w:szCs w:val="28"/>
            </w:rPr>
            <w:fldChar w:fldCharType="separate"/>
          </w:r>
          <w:r>
            <w:rPr>
              <w:rFonts w:ascii="Times New Roman" w:hAnsi="Times New Roman"/>
              <w:sz w:val="28"/>
              <w:szCs w:val="28"/>
            </w:rPr>
            <w:t>27</w:t>
          </w:r>
          <w:r>
            <w:rPr>
              <w:rFonts w:ascii="Times New Roman" w:hAnsi="Times New Roman"/>
              <w:sz w:val="28"/>
              <w:szCs w:val="28"/>
            </w:rPr>
            <w:fldChar w:fldCharType="end"/>
          </w:r>
          <w:r>
            <w:rPr>
              <w:rFonts w:ascii="Times New Roman" w:hAnsi="Times New Roman"/>
              <w:sz w:val="28"/>
              <w:szCs w:val="28"/>
            </w:rPr>
            <w:fldChar w:fldCharType="end"/>
          </w:r>
        </w:p>
        <w:p w14:paraId="71A41126">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"_Toc225936069" </w:instrText>
          </w:r>
          <w:r>
            <w:fldChar w:fldCharType="separate"/>
          </w:r>
          <w:r>
            <w:rPr>
              <w:rStyle w:val="17"/>
              <w:rFonts w:ascii="Times New Roman" w:hAnsi="Times New Roman"/>
              <w:sz w:val="28"/>
              <w:szCs w:val="28"/>
            </w:rPr>
            <w:t>Доход по основному месту работы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_Toc225936069 \h </w:instrText>
          </w:r>
          <w:r>
            <w:rPr>
              <w:rFonts w:ascii="Times New Roman" w:hAnsi="Times New Roman"/>
              <w:sz w:val="28"/>
              <w:szCs w:val="28"/>
            </w:rPr>
            <w:fldChar w:fldCharType="separate"/>
          </w:r>
          <w:r>
            <w:rPr>
              <w:rFonts w:ascii="Times New Roman" w:hAnsi="Times New Roman"/>
              <w:sz w:val="28"/>
              <w:szCs w:val="28"/>
            </w:rPr>
            <w:t>27</w:t>
          </w:r>
          <w:r>
            <w:rPr>
              <w:rFonts w:ascii="Times New Roman" w:hAnsi="Times New Roman"/>
              <w:sz w:val="28"/>
              <w:szCs w:val="28"/>
            </w:rPr>
            <w:fldChar w:fldCharType="end"/>
          </w:r>
          <w:r>
            <w:rPr>
              <w:rFonts w:ascii="Times New Roman" w:hAnsi="Times New Roman"/>
              <w:sz w:val="28"/>
              <w:szCs w:val="28"/>
            </w:rPr>
            <w:fldChar w:fldCharType="end"/>
          </w:r>
        </w:p>
        <w:p w14:paraId="3E32E3E1">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"_Toc225936070" </w:instrText>
          </w:r>
          <w:r>
            <w:fldChar w:fldCharType="separate"/>
          </w:r>
          <w:r>
            <w:rPr>
              <w:rStyle w:val="17"/>
              <w:rFonts w:ascii="Times New Roman" w:hAnsi="Times New Roman"/>
              <w:sz w:val="28"/>
              <w:szCs w:val="28"/>
            </w:rPr>
            <w:t>Доход от педагогической и научной деятельности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_Toc225936070 \h </w:instrText>
          </w:r>
          <w:r>
            <w:rPr>
              <w:rFonts w:ascii="Times New Roman" w:hAnsi="Times New Roman"/>
              <w:sz w:val="28"/>
              <w:szCs w:val="28"/>
            </w:rPr>
            <w:fldChar w:fldCharType="separate"/>
          </w:r>
          <w:r>
            <w:rPr>
              <w:rFonts w:ascii="Times New Roman" w:hAnsi="Times New Roman"/>
              <w:sz w:val="28"/>
              <w:szCs w:val="28"/>
            </w:rPr>
            <w:t>29</w:t>
          </w:r>
          <w:r>
            <w:rPr>
              <w:rFonts w:ascii="Times New Roman" w:hAnsi="Times New Roman"/>
              <w:sz w:val="28"/>
              <w:szCs w:val="28"/>
            </w:rPr>
            <w:fldChar w:fldCharType="end"/>
          </w:r>
          <w:r>
            <w:rPr>
              <w:rFonts w:ascii="Times New Roman" w:hAnsi="Times New Roman"/>
              <w:sz w:val="28"/>
              <w:szCs w:val="28"/>
            </w:rPr>
            <w:fldChar w:fldCharType="end"/>
          </w:r>
        </w:p>
        <w:p w14:paraId="415CF8FE">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"_Toc225936071" </w:instrText>
          </w:r>
          <w:r>
            <w:fldChar w:fldCharType="separate"/>
          </w:r>
          <w:r>
            <w:rPr>
              <w:rStyle w:val="17"/>
              <w:rFonts w:ascii="Times New Roman" w:hAnsi="Times New Roman"/>
              <w:sz w:val="28"/>
              <w:szCs w:val="28"/>
            </w:rPr>
            <w:t>Доход от иной творческой деятельности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_Toc225936071 \h </w:instrText>
          </w:r>
          <w:r>
            <w:rPr>
              <w:rFonts w:ascii="Times New Roman" w:hAnsi="Times New Roman"/>
              <w:sz w:val="28"/>
              <w:szCs w:val="28"/>
            </w:rPr>
            <w:fldChar w:fldCharType="separate"/>
          </w:r>
          <w:r>
            <w:rPr>
              <w:rFonts w:ascii="Times New Roman" w:hAnsi="Times New Roman"/>
              <w:sz w:val="28"/>
              <w:szCs w:val="28"/>
            </w:rPr>
            <w:t>29</w:t>
          </w:r>
          <w:r>
            <w:rPr>
              <w:rFonts w:ascii="Times New Roman" w:hAnsi="Times New Roman"/>
              <w:sz w:val="28"/>
              <w:szCs w:val="28"/>
            </w:rPr>
            <w:fldChar w:fldCharType="end"/>
          </w:r>
          <w:r>
            <w:rPr>
              <w:rFonts w:ascii="Times New Roman" w:hAnsi="Times New Roman"/>
              <w:sz w:val="28"/>
              <w:szCs w:val="28"/>
            </w:rPr>
            <w:fldChar w:fldCharType="end"/>
          </w:r>
        </w:p>
        <w:p w14:paraId="26C90257">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"_Toc225936072" </w:instrText>
          </w:r>
          <w:r>
            <w:fldChar w:fldCharType="separate"/>
          </w:r>
          <w:r>
            <w:rPr>
              <w:rStyle w:val="17"/>
              <w:rFonts w:ascii="Times New Roman" w:hAnsi="Times New Roman"/>
              <w:sz w:val="28"/>
              <w:szCs w:val="28"/>
            </w:rPr>
            <w:t>Доход от вкладов в банках и иных кредитных организациях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_Toc225936072 \h </w:instrText>
          </w:r>
          <w:r>
            <w:rPr>
              <w:rFonts w:ascii="Times New Roman" w:hAnsi="Times New Roman"/>
              <w:sz w:val="28"/>
              <w:szCs w:val="28"/>
            </w:rPr>
            <w:fldChar w:fldCharType="separate"/>
          </w:r>
          <w:r>
            <w:rPr>
              <w:rFonts w:ascii="Times New Roman" w:hAnsi="Times New Roman"/>
              <w:sz w:val="28"/>
              <w:szCs w:val="28"/>
            </w:rPr>
            <w:t>29</w:t>
          </w:r>
          <w:r>
            <w:rPr>
              <w:rFonts w:ascii="Times New Roman" w:hAnsi="Times New Roman"/>
              <w:sz w:val="28"/>
              <w:szCs w:val="28"/>
            </w:rPr>
            <w:fldChar w:fldCharType="end"/>
          </w:r>
          <w:r>
            <w:rPr>
              <w:rFonts w:ascii="Times New Roman" w:hAnsi="Times New Roman"/>
              <w:sz w:val="28"/>
              <w:szCs w:val="28"/>
            </w:rPr>
            <w:fldChar w:fldCharType="end"/>
          </w:r>
        </w:p>
        <w:p w14:paraId="086B83D3">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"_Toc225936073" </w:instrText>
          </w:r>
          <w:r>
            <w:fldChar w:fldCharType="separate"/>
          </w:r>
          <w:r>
            <w:rPr>
              <w:rStyle w:val="17"/>
              <w:rFonts w:ascii="Times New Roman" w:hAnsi="Times New Roman"/>
              <w:sz w:val="28"/>
              <w:szCs w:val="28"/>
            </w:rPr>
            <w:t>Доход от ценных бумаг и долей участия в коммерческих организациях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_Toc225936073 \h </w:instrText>
          </w:r>
          <w:r>
            <w:rPr>
              <w:rFonts w:ascii="Times New Roman" w:hAnsi="Times New Roman"/>
              <w:sz w:val="28"/>
              <w:szCs w:val="28"/>
            </w:rPr>
            <w:fldChar w:fldCharType="separate"/>
          </w:r>
          <w:r>
            <w:rPr>
              <w:rFonts w:ascii="Times New Roman" w:hAnsi="Times New Roman"/>
              <w:sz w:val="28"/>
              <w:szCs w:val="28"/>
            </w:rPr>
            <w:t>30</w:t>
          </w:r>
          <w:r>
            <w:rPr>
              <w:rFonts w:ascii="Times New Roman" w:hAnsi="Times New Roman"/>
              <w:sz w:val="28"/>
              <w:szCs w:val="28"/>
            </w:rPr>
            <w:fldChar w:fldCharType="end"/>
          </w:r>
          <w:r>
            <w:rPr>
              <w:rFonts w:ascii="Times New Roman" w:hAnsi="Times New Roman"/>
              <w:sz w:val="28"/>
              <w:szCs w:val="28"/>
            </w:rPr>
            <w:fldChar w:fldCharType="end"/>
          </w:r>
        </w:p>
        <w:p w14:paraId="1FACDC51">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"_Toc225936074" </w:instrText>
          </w:r>
          <w:r>
            <w:fldChar w:fldCharType="separate"/>
          </w:r>
          <w:r>
            <w:rPr>
              <w:rStyle w:val="17"/>
              <w:rFonts w:ascii="Times New Roman" w:hAnsi="Times New Roman"/>
              <w:sz w:val="28"/>
              <w:szCs w:val="28"/>
            </w:rPr>
            <w:t>Иные доходы</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_Toc225936074 \h </w:instrText>
          </w:r>
          <w:r>
            <w:rPr>
              <w:rFonts w:ascii="Times New Roman" w:hAnsi="Times New Roman"/>
              <w:sz w:val="28"/>
              <w:szCs w:val="28"/>
            </w:rPr>
            <w:fldChar w:fldCharType="separate"/>
          </w:r>
          <w:r>
            <w:rPr>
              <w:rFonts w:ascii="Times New Roman" w:hAnsi="Times New Roman"/>
              <w:sz w:val="28"/>
              <w:szCs w:val="28"/>
            </w:rPr>
            <w:t>31</w:t>
          </w:r>
          <w:r>
            <w:rPr>
              <w:rFonts w:ascii="Times New Roman" w:hAnsi="Times New Roman"/>
              <w:sz w:val="28"/>
              <w:szCs w:val="28"/>
            </w:rPr>
            <w:fldChar w:fldCharType="end"/>
          </w:r>
          <w:r>
            <w:rPr>
              <w:rFonts w:ascii="Times New Roman" w:hAnsi="Times New Roman"/>
              <w:sz w:val="28"/>
              <w:szCs w:val="28"/>
            </w:rPr>
            <w:fldChar w:fldCharType="end"/>
          </w:r>
        </w:p>
        <w:p w14:paraId="458CDEC6">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"_Toc225936075" </w:instrText>
          </w:r>
          <w:r>
            <w:fldChar w:fldCharType="separate"/>
          </w:r>
          <w:r>
            <w:rPr>
              <w:rStyle w:val="17"/>
              <w:rFonts w:ascii="Times New Roman" w:hAnsi="Times New Roman"/>
              <w:sz w:val="28"/>
              <w:szCs w:val="28"/>
            </w:rPr>
            <w:t>РАЗДЕЛ 2. СВЕДЕНИЯ О РАСХОДАХ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_Toc225936075 \h </w:instrText>
          </w:r>
          <w:r>
            <w:rPr>
              <w:rFonts w:ascii="Times New Roman" w:hAnsi="Times New Roman"/>
              <w:sz w:val="28"/>
              <w:szCs w:val="28"/>
            </w:rPr>
            <w:fldChar w:fldCharType="separate"/>
          </w:r>
          <w:r>
            <w:rPr>
              <w:rFonts w:ascii="Times New Roman" w:hAnsi="Times New Roman"/>
              <w:sz w:val="28"/>
              <w:szCs w:val="28"/>
            </w:rPr>
            <w:t>38</w:t>
          </w:r>
          <w:r>
            <w:rPr>
              <w:rFonts w:ascii="Times New Roman" w:hAnsi="Times New Roman"/>
              <w:sz w:val="28"/>
              <w:szCs w:val="28"/>
            </w:rPr>
            <w:fldChar w:fldCharType="end"/>
          </w:r>
          <w:r>
            <w:rPr>
              <w:rFonts w:ascii="Times New Roman" w:hAnsi="Times New Roman"/>
              <w:sz w:val="28"/>
              <w:szCs w:val="28"/>
            </w:rPr>
            <w:fldChar w:fldCharType="end"/>
          </w:r>
        </w:p>
        <w:p w14:paraId="484B397B">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"_Toc225936076" </w:instrText>
          </w:r>
          <w:r>
            <w:fldChar w:fldCharType="separate"/>
          </w:r>
          <w:r>
            <w:rPr>
              <w:rStyle w:val="17"/>
              <w:rFonts w:ascii="Times New Roman" w:hAnsi="Times New Roman"/>
              <w:sz w:val="28"/>
              <w:szCs w:val="28"/>
            </w:rPr>
            <w:t>Основные положения</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_Toc225936076 \h </w:instrText>
          </w:r>
          <w:r>
            <w:rPr>
              <w:rFonts w:ascii="Times New Roman" w:hAnsi="Times New Roman"/>
              <w:sz w:val="28"/>
              <w:szCs w:val="28"/>
            </w:rPr>
            <w:fldChar w:fldCharType="separate"/>
          </w:r>
          <w:r>
            <w:rPr>
              <w:rFonts w:ascii="Times New Roman" w:hAnsi="Times New Roman"/>
              <w:sz w:val="28"/>
              <w:szCs w:val="28"/>
            </w:rPr>
            <w:t>38</w:t>
          </w:r>
          <w:r>
            <w:rPr>
              <w:rFonts w:ascii="Times New Roman" w:hAnsi="Times New Roman"/>
              <w:sz w:val="28"/>
              <w:szCs w:val="28"/>
            </w:rPr>
            <w:fldChar w:fldCharType="end"/>
          </w:r>
          <w:r>
            <w:rPr>
              <w:rFonts w:ascii="Times New Roman" w:hAnsi="Times New Roman"/>
              <w:sz w:val="28"/>
              <w:szCs w:val="28"/>
            </w:rPr>
            <w:fldChar w:fldCharType="end"/>
          </w:r>
        </w:p>
        <w:p w14:paraId="08E8FE93">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"_Toc225936077" </w:instrText>
          </w:r>
          <w:r>
            <w:fldChar w:fldCharType="separate"/>
          </w:r>
          <w:r>
            <w:rPr>
              <w:rStyle w:val="17"/>
              <w:rFonts w:ascii="Times New Roman" w:hAnsi="Times New Roman"/>
              <w:sz w:val="28"/>
              <w:szCs w:val="28"/>
            </w:rPr>
            <w:t>Вид приобретенного имущества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_Toc225936077 \h </w:instrText>
          </w:r>
          <w:r>
            <w:rPr>
              <w:rFonts w:ascii="Times New Roman" w:hAnsi="Times New Roman"/>
              <w:sz w:val="28"/>
              <w:szCs w:val="28"/>
            </w:rPr>
            <w:fldChar w:fldCharType="separate"/>
          </w:r>
          <w:r>
            <w:rPr>
              <w:rFonts w:ascii="Times New Roman" w:hAnsi="Times New Roman"/>
              <w:sz w:val="28"/>
              <w:szCs w:val="28"/>
            </w:rPr>
            <w:t>40</w:t>
          </w:r>
          <w:r>
            <w:rPr>
              <w:rFonts w:ascii="Times New Roman" w:hAnsi="Times New Roman"/>
              <w:sz w:val="28"/>
              <w:szCs w:val="28"/>
            </w:rPr>
            <w:fldChar w:fldCharType="end"/>
          </w:r>
          <w:r>
            <w:rPr>
              <w:rFonts w:ascii="Times New Roman" w:hAnsi="Times New Roman"/>
              <w:sz w:val="28"/>
              <w:szCs w:val="28"/>
            </w:rPr>
            <w:fldChar w:fldCharType="end"/>
          </w:r>
        </w:p>
        <w:p w14:paraId="6D7B0D8A">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"_Toc225936078" </w:instrText>
          </w:r>
          <w:r>
            <w:fldChar w:fldCharType="separate"/>
          </w:r>
          <w:r>
            <w:rPr>
              <w:rStyle w:val="17"/>
              <w:rFonts w:ascii="Times New Roman" w:hAnsi="Times New Roman"/>
              <w:sz w:val="28"/>
              <w:szCs w:val="28"/>
            </w:rPr>
            <w:t>Сумма сделки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_Toc225936078 \h </w:instrText>
          </w:r>
          <w:r>
            <w:rPr>
              <w:rFonts w:ascii="Times New Roman" w:hAnsi="Times New Roman"/>
              <w:sz w:val="28"/>
              <w:szCs w:val="28"/>
            </w:rPr>
            <w:fldChar w:fldCharType="separate"/>
          </w:r>
          <w:r>
            <w:rPr>
              <w:rFonts w:ascii="Times New Roman" w:hAnsi="Times New Roman"/>
              <w:sz w:val="28"/>
              <w:szCs w:val="28"/>
            </w:rPr>
            <w:t>40</w:t>
          </w:r>
          <w:r>
            <w:rPr>
              <w:rFonts w:ascii="Times New Roman" w:hAnsi="Times New Roman"/>
              <w:sz w:val="28"/>
              <w:szCs w:val="28"/>
            </w:rPr>
            <w:fldChar w:fldCharType="end"/>
          </w:r>
          <w:r>
            <w:rPr>
              <w:rFonts w:ascii="Times New Roman" w:hAnsi="Times New Roman"/>
              <w:sz w:val="28"/>
              <w:szCs w:val="28"/>
            </w:rPr>
            <w:fldChar w:fldCharType="end"/>
          </w:r>
        </w:p>
        <w:p w14:paraId="24C3538E">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"_Toc225936079" </w:instrText>
          </w:r>
          <w:r>
            <w:fldChar w:fldCharType="separate"/>
          </w:r>
          <w:r>
            <w:rPr>
              <w:rStyle w:val="17"/>
              <w:rFonts w:ascii="Times New Roman" w:hAnsi="Times New Roman"/>
              <w:sz w:val="28"/>
              <w:szCs w:val="28"/>
            </w:rPr>
            <w:t>Источник получения средств, за счет которых приобретено имущество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_Toc225936079 \h </w:instrText>
          </w:r>
          <w:r>
            <w:rPr>
              <w:rFonts w:ascii="Times New Roman" w:hAnsi="Times New Roman"/>
              <w:sz w:val="28"/>
              <w:szCs w:val="28"/>
            </w:rPr>
            <w:fldChar w:fldCharType="separate"/>
          </w:r>
          <w:r>
            <w:rPr>
              <w:rFonts w:ascii="Times New Roman" w:hAnsi="Times New Roman"/>
              <w:sz w:val="28"/>
              <w:szCs w:val="28"/>
            </w:rPr>
            <w:t>40</w:t>
          </w:r>
          <w:r>
            <w:rPr>
              <w:rFonts w:ascii="Times New Roman" w:hAnsi="Times New Roman"/>
              <w:sz w:val="28"/>
              <w:szCs w:val="28"/>
            </w:rPr>
            <w:fldChar w:fldCharType="end"/>
          </w:r>
          <w:r>
            <w:rPr>
              <w:rFonts w:ascii="Times New Roman" w:hAnsi="Times New Roman"/>
              <w:sz w:val="28"/>
              <w:szCs w:val="28"/>
            </w:rPr>
            <w:fldChar w:fldCharType="end"/>
          </w:r>
        </w:p>
        <w:p w14:paraId="74694221">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"_Toc225936080" </w:instrText>
          </w:r>
          <w:r>
            <w:fldChar w:fldCharType="separate"/>
          </w:r>
          <w:r>
            <w:rPr>
              <w:rStyle w:val="17"/>
              <w:rFonts w:ascii="Times New Roman" w:hAnsi="Times New Roman"/>
              <w:sz w:val="28"/>
              <w:szCs w:val="28"/>
            </w:rPr>
            <w:t>Основания приобретения имущества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_Toc225936080 \h </w:instrText>
          </w:r>
          <w:r>
            <w:rPr>
              <w:rFonts w:ascii="Times New Roman" w:hAnsi="Times New Roman"/>
              <w:sz w:val="28"/>
              <w:szCs w:val="28"/>
            </w:rPr>
            <w:fldChar w:fldCharType="separate"/>
          </w:r>
          <w:r>
            <w:rPr>
              <w:rFonts w:ascii="Times New Roman" w:hAnsi="Times New Roman"/>
              <w:sz w:val="28"/>
              <w:szCs w:val="28"/>
            </w:rPr>
            <w:t>41</w:t>
          </w:r>
          <w:r>
            <w:rPr>
              <w:rFonts w:ascii="Times New Roman" w:hAnsi="Times New Roman"/>
              <w:sz w:val="28"/>
              <w:szCs w:val="28"/>
            </w:rPr>
            <w:fldChar w:fldCharType="end"/>
          </w:r>
          <w:r>
            <w:rPr>
              <w:rFonts w:ascii="Times New Roman" w:hAnsi="Times New Roman"/>
              <w:sz w:val="28"/>
              <w:szCs w:val="28"/>
            </w:rPr>
            <w:fldChar w:fldCharType="end"/>
          </w:r>
        </w:p>
        <w:p w14:paraId="051ADA23">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"_Toc225936081" </w:instrText>
          </w:r>
          <w:r>
            <w:fldChar w:fldCharType="separate"/>
          </w:r>
          <w:r>
            <w:rPr>
              <w:rStyle w:val="17"/>
              <w:rFonts w:ascii="Times New Roman" w:hAnsi="Times New Roman"/>
              <w:sz w:val="28"/>
              <w:szCs w:val="28"/>
            </w:rPr>
            <w:t>Особенности представления сведений о расходах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_Toc225936081 \h </w:instrText>
          </w:r>
          <w:r>
            <w:rPr>
              <w:rFonts w:ascii="Times New Roman" w:hAnsi="Times New Roman"/>
              <w:sz w:val="28"/>
              <w:szCs w:val="28"/>
            </w:rPr>
            <w:fldChar w:fldCharType="separate"/>
          </w:r>
          <w:r>
            <w:rPr>
              <w:rFonts w:ascii="Times New Roman" w:hAnsi="Times New Roman"/>
              <w:sz w:val="28"/>
              <w:szCs w:val="28"/>
            </w:rPr>
            <w:t>41</w:t>
          </w:r>
          <w:r>
            <w:rPr>
              <w:rFonts w:ascii="Times New Roman" w:hAnsi="Times New Roman"/>
              <w:sz w:val="28"/>
              <w:szCs w:val="28"/>
            </w:rPr>
            <w:fldChar w:fldCharType="end"/>
          </w:r>
          <w:r>
            <w:rPr>
              <w:rFonts w:ascii="Times New Roman" w:hAnsi="Times New Roman"/>
              <w:sz w:val="28"/>
              <w:szCs w:val="28"/>
            </w:rPr>
            <w:fldChar w:fldCharType="end"/>
          </w:r>
        </w:p>
        <w:p w14:paraId="722F24CA">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"_Toc225936082" </w:instrText>
          </w:r>
          <w:r>
            <w:fldChar w:fldCharType="separate"/>
          </w:r>
          <w:r>
            <w:rPr>
              <w:rStyle w:val="17"/>
              <w:rFonts w:ascii="Times New Roman" w:hAnsi="Times New Roman"/>
              <w:sz w:val="28"/>
              <w:szCs w:val="28"/>
            </w:rPr>
            <w:t>РАЗДЕЛ 3. СВЕДЕНИЯ ОБ ИМУЩЕСТВЕ</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_Toc225936082 \h </w:instrText>
          </w:r>
          <w:r>
            <w:rPr>
              <w:rFonts w:ascii="Times New Roman" w:hAnsi="Times New Roman"/>
              <w:sz w:val="28"/>
              <w:szCs w:val="28"/>
            </w:rPr>
            <w:fldChar w:fldCharType="separate"/>
          </w:r>
          <w:r>
            <w:rPr>
              <w:rFonts w:ascii="Times New Roman" w:hAnsi="Times New Roman"/>
              <w:sz w:val="28"/>
              <w:szCs w:val="28"/>
            </w:rPr>
            <w:t>42</w:t>
          </w:r>
          <w:r>
            <w:rPr>
              <w:rFonts w:ascii="Times New Roman" w:hAnsi="Times New Roman"/>
              <w:sz w:val="28"/>
              <w:szCs w:val="28"/>
            </w:rPr>
            <w:fldChar w:fldCharType="end"/>
          </w:r>
          <w:r>
            <w:rPr>
              <w:rFonts w:ascii="Times New Roman" w:hAnsi="Times New Roman"/>
              <w:sz w:val="28"/>
              <w:szCs w:val="28"/>
            </w:rPr>
            <w:fldChar w:fldCharType="end"/>
          </w:r>
        </w:p>
        <w:p w14:paraId="15A33C71">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"_Toc225936083" </w:instrText>
          </w:r>
          <w:r>
            <w:fldChar w:fldCharType="separate"/>
          </w:r>
          <w:r>
            <w:rPr>
              <w:rStyle w:val="17"/>
              <w:rFonts w:ascii="Times New Roman" w:hAnsi="Times New Roman"/>
              <w:sz w:val="28"/>
              <w:szCs w:val="28"/>
            </w:rPr>
            <w:t>Подраздел 3.1 Недвижимое имущество</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_Toc225936083 \h </w:instrText>
          </w:r>
          <w:r>
            <w:rPr>
              <w:rFonts w:ascii="Times New Roman" w:hAnsi="Times New Roman"/>
              <w:sz w:val="28"/>
              <w:szCs w:val="28"/>
            </w:rPr>
            <w:fldChar w:fldCharType="separate"/>
          </w:r>
          <w:r>
            <w:rPr>
              <w:rFonts w:ascii="Times New Roman" w:hAnsi="Times New Roman"/>
              <w:sz w:val="28"/>
              <w:szCs w:val="28"/>
            </w:rPr>
            <w:t>42</w:t>
          </w:r>
          <w:r>
            <w:rPr>
              <w:rFonts w:ascii="Times New Roman" w:hAnsi="Times New Roman"/>
              <w:sz w:val="28"/>
              <w:szCs w:val="28"/>
            </w:rPr>
            <w:fldChar w:fldCharType="end"/>
          </w:r>
          <w:r>
            <w:rPr>
              <w:rFonts w:ascii="Times New Roman" w:hAnsi="Times New Roman"/>
              <w:sz w:val="28"/>
              <w:szCs w:val="28"/>
            </w:rPr>
            <w:fldChar w:fldCharType="end"/>
          </w:r>
        </w:p>
        <w:p w14:paraId="3252739F">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"_Toc225936084" </w:instrText>
          </w:r>
          <w:r>
            <w:fldChar w:fldCharType="separate"/>
          </w:r>
          <w:r>
            <w:rPr>
              <w:rStyle w:val="17"/>
              <w:rFonts w:ascii="Times New Roman" w:hAnsi="Times New Roman"/>
              <w:sz w:val="28"/>
              <w:szCs w:val="28"/>
            </w:rPr>
            <w:t>Подраздел 3.2. Транспортные средства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_Toc225936084 \h </w:instrText>
          </w:r>
          <w:r>
            <w:rPr>
              <w:rFonts w:ascii="Times New Roman" w:hAnsi="Times New Roman"/>
              <w:sz w:val="28"/>
              <w:szCs w:val="28"/>
            </w:rPr>
            <w:fldChar w:fldCharType="separate"/>
          </w:r>
          <w:r>
            <w:rPr>
              <w:rFonts w:ascii="Times New Roman" w:hAnsi="Times New Roman"/>
              <w:sz w:val="28"/>
              <w:szCs w:val="28"/>
            </w:rPr>
            <w:t>48</w:t>
          </w:r>
          <w:r>
            <w:rPr>
              <w:rFonts w:ascii="Times New Roman" w:hAnsi="Times New Roman"/>
              <w:sz w:val="28"/>
              <w:szCs w:val="28"/>
            </w:rPr>
            <w:fldChar w:fldCharType="end"/>
          </w:r>
          <w:r>
            <w:rPr>
              <w:rFonts w:ascii="Times New Roman" w:hAnsi="Times New Roman"/>
              <w:sz w:val="28"/>
              <w:szCs w:val="28"/>
            </w:rPr>
            <w:fldChar w:fldCharType="end"/>
          </w:r>
        </w:p>
        <w:p w14:paraId="202A79EC">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"_Toc225936085" </w:instrText>
          </w:r>
          <w:r>
            <w:fldChar w:fldCharType="separate"/>
          </w:r>
          <w:r>
            <w:rPr>
              <w:rStyle w:val="17"/>
              <w:rFonts w:ascii="Times New Roman" w:hAnsi="Times New Roman"/>
              <w:sz w:val="28"/>
              <w:szCs w:val="28"/>
            </w:rPr>
            <w:t>Подраздел 3.3. Цифровые финансовые активы, цифровые права, включающие одновременно цифровые финансовые активы и иные цифровые права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_Toc225936085 \h </w:instrText>
          </w:r>
          <w:r>
            <w:rPr>
              <w:rFonts w:ascii="Times New Roman" w:hAnsi="Times New Roman"/>
              <w:sz w:val="28"/>
              <w:szCs w:val="28"/>
            </w:rPr>
            <w:fldChar w:fldCharType="separate"/>
          </w:r>
          <w:r>
            <w:rPr>
              <w:rFonts w:ascii="Times New Roman" w:hAnsi="Times New Roman"/>
              <w:sz w:val="28"/>
              <w:szCs w:val="28"/>
            </w:rPr>
            <w:t>49</w:t>
          </w:r>
          <w:r>
            <w:rPr>
              <w:rFonts w:ascii="Times New Roman" w:hAnsi="Times New Roman"/>
              <w:sz w:val="28"/>
              <w:szCs w:val="28"/>
            </w:rPr>
            <w:fldChar w:fldCharType="end"/>
          </w:r>
          <w:r>
            <w:rPr>
              <w:rFonts w:ascii="Times New Roman" w:hAnsi="Times New Roman"/>
              <w:sz w:val="28"/>
              <w:szCs w:val="28"/>
            </w:rPr>
            <w:fldChar w:fldCharType="end"/>
          </w:r>
        </w:p>
        <w:p w14:paraId="18942070">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"_Toc225936086" </w:instrText>
          </w:r>
          <w:r>
            <w:fldChar w:fldCharType="separate"/>
          </w:r>
          <w:r>
            <w:rPr>
              <w:rStyle w:val="17"/>
              <w:rFonts w:ascii="Times New Roman" w:hAnsi="Times New Roman"/>
              <w:sz w:val="28"/>
              <w:szCs w:val="28"/>
            </w:rPr>
            <w:t>Подраздел 3.4. Утилитарные цифровые права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_Toc225936086 \h </w:instrText>
          </w:r>
          <w:r>
            <w:rPr>
              <w:rFonts w:ascii="Times New Roman" w:hAnsi="Times New Roman"/>
              <w:sz w:val="28"/>
              <w:szCs w:val="28"/>
            </w:rPr>
            <w:fldChar w:fldCharType="separate"/>
          </w:r>
          <w:r>
            <w:rPr>
              <w:rFonts w:ascii="Times New Roman" w:hAnsi="Times New Roman"/>
              <w:sz w:val="28"/>
              <w:szCs w:val="28"/>
            </w:rPr>
            <w:t>51</w:t>
          </w:r>
          <w:r>
            <w:rPr>
              <w:rFonts w:ascii="Times New Roman" w:hAnsi="Times New Roman"/>
              <w:sz w:val="28"/>
              <w:szCs w:val="28"/>
            </w:rPr>
            <w:fldChar w:fldCharType="end"/>
          </w:r>
          <w:r>
            <w:rPr>
              <w:rFonts w:ascii="Times New Roman" w:hAnsi="Times New Roman"/>
              <w:sz w:val="28"/>
              <w:szCs w:val="28"/>
            </w:rPr>
            <w:fldChar w:fldCharType="end"/>
          </w:r>
        </w:p>
        <w:p w14:paraId="05AD2A07">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"_Toc225936087" </w:instrText>
          </w:r>
          <w:r>
            <w:fldChar w:fldCharType="separate"/>
          </w:r>
          <w:r>
            <w:rPr>
              <w:rStyle w:val="17"/>
              <w:rFonts w:ascii="Times New Roman" w:hAnsi="Times New Roman"/>
              <w:sz w:val="28"/>
              <w:szCs w:val="28"/>
            </w:rPr>
            <w:t>Подраздел 3.5. Цифровая валюта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_Toc225936087 \h </w:instrText>
          </w:r>
          <w:r>
            <w:rPr>
              <w:rFonts w:ascii="Times New Roman" w:hAnsi="Times New Roman"/>
              <w:sz w:val="28"/>
              <w:szCs w:val="28"/>
            </w:rPr>
            <w:fldChar w:fldCharType="separate"/>
          </w:r>
          <w:r>
            <w:rPr>
              <w:rFonts w:ascii="Times New Roman" w:hAnsi="Times New Roman"/>
              <w:sz w:val="28"/>
              <w:szCs w:val="28"/>
            </w:rPr>
            <w:t>52</w:t>
          </w:r>
          <w:r>
            <w:rPr>
              <w:rFonts w:ascii="Times New Roman" w:hAnsi="Times New Roman"/>
              <w:sz w:val="28"/>
              <w:szCs w:val="28"/>
            </w:rPr>
            <w:fldChar w:fldCharType="end"/>
          </w:r>
          <w:r>
            <w:rPr>
              <w:rFonts w:ascii="Times New Roman" w:hAnsi="Times New Roman"/>
              <w:sz w:val="28"/>
              <w:szCs w:val="28"/>
            </w:rPr>
            <w:fldChar w:fldCharType="end"/>
          </w:r>
        </w:p>
        <w:p w14:paraId="5F321101">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"_Toc225936088" </w:instrText>
          </w:r>
          <w:r>
            <w:fldChar w:fldCharType="separate"/>
          </w:r>
          <w:r>
            <w:rPr>
              <w:rStyle w:val="17"/>
              <w:rFonts w:ascii="Times New Roman" w:hAnsi="Times New Roman"/>
              <w:sz w:val="28"/>
              <w:szCs w:val="28"/>
            </w:rPr>
            <w:t>РАЗДЕЛ 4. СВЕДЕНИЯ О СЧЕТАХ В БАНКАХ  И ИНЫХ КРЕДИТНЫХ ОРГАНИЗАЦИЯХ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_Toc225936088 \h </w:instrText>
          </w:r>
          <w:r>
            <w:rPr>
              <w:rFonts w:ascii="Times New Roman" w:hAnsi="Times New Roman"/>
              <w:sz w:val="28"/>
              <w:szCs w:val="28"/>
            </w:rPr>
            <w:fldChar w:fldCharType="separate"/>
          </w:r>
          <w:r>
            <w:rPr>
              <w:rFonts w:ascii="Times New Roman" w:hAnsi="Times New Roman"/>
              <w:sz w:val="28"/>
              <w:szCs w:val="28"/>
            </w:rPr>
            <w:t>52</w:t>
          </w:r>
          <w:r>
            <w:rPr>
              <w:rFonts w:ascii="Times New Roman" w:hAnsi="Times New Roman"/>
              <w:sz w:val="28"/>
              <w:szCs w:val="28"/>
            </w:rPr>
            <w:fldChar w:fldCharType="end"/>
          </w:r>
          <w:r>
            <w:rPr>
              <w:rFonts w:ascii="Times New Roman" w:hAnsi="Times New Roman"/>
              <w:sz w:val="28"/>
              <w:szCs w:val="28"/>
            </w:rPr>
            <w:fldChar w:fldCharType="end"/>
          </w:r>
        </w:p>
        <w:p w14:paraId="1EC331A0">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"_Toc225936089" </w:instrText>
          </w:r>
          <w:r>
            <w:fldChar w:fldCharType="separate"/>
          </w:r>
          <w:r>
            <w:rPr>
              <w:rStyle w:val="17"/>
              <w:rFonts w:ascii="Times New Roman" w:hAnsi="Times New Roman"/>
              <w:sz w:val="28"/>
              <w:szCs w:val="28"/>
            </w:rPr>
            <w:t>Совместный счет</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_Toc225936089 \h </w:instrText>
          </w:r>
          <w:r>
            <w:rPr>
              <w:rFonts w:ascii="Times New Roman" w:hAnsi="Times New Roman"/>
              <w:sz w:val="28"/>
              <w:szCs w:val="28"/>
            </w:rPr>
            <w:fldChar w:fldCharType="separate"/>
          </w:r>
          <w:r>
            <w:rPr>
              <w:rFonts w:ascii="Times New Roman" w:hAnsi="Times New Roman"/>
              <w:sz w:val="28"/>
              <w:szCs w:val="28"/>
            </w:rPr>
            <w:t>58</w:t>
          </w:r>
          <w:r>
            <w:rPr>
              <w:rFonts w:ascii="Times New Roman" w:hAnsi="Times New Roman"/>
              <w:sz w:val="28"/>
              <w:szCs w:val="28"/>
            </w:rPr>
            <w:fldChar w:fldCharType="end"/>
          </w:r>
          <w:r>
            <w:rPr>
              <w:rFonts w:ascii="Times New Roman" w:hAnsi="Times New Roman"/>
              <w:sz w:val="28"/>
              <w:szCs w:val="28"/>
            </w:rPr>
            <w:fldChar w:fldCharType="end"/>
          </w:r>
        </w:p>
        <w:p w14:paraId="41538DEF">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"_Toc225936090" </w:instrText>
          </w:r>
          <w:r>
            <w:fldChar w:fldCharType="separate"/>
          </w:r>
          <w:r>
            <w:rPr>
              <w:rStyle w:val="17"/>
              <w:rFonts w:ascii="Times New Roman" w:hAnsi="Times New Roman"/>
              <w:sz w:val="28"/>
              <w:szCs w:val="28"/>
            </w:rPr>
            <w:t>Кредитные карты, карты с овердрафтом, электронные средства платежа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_Toc225936090 \h </w:instrText>
          </w:r>
          <w:r>
            <w:rPr>
              <w:rFonts w:ascii="Times New Roman" w:hAnsi="Times New Roman"/>
              <w:sz w:val="28"/>
              <w:szCs w:val="28"/>
            </w:rPr>
            <w:fldChar w:fldCharType="separate"/>
          </w:r>
          <w:r>
            <w:rPr>
              <w:rFonts w:ascii="Times New Roman" w:hAnsi="Times New Roman"/>
              <w:sz w:val="28"/>
              <w:szCs w:val="28"/>
            </w:rPr>
            <w:t>58</w:t>
          </w:r>
          <w:r>
            <w:rPr>
              <w:rFonts w:ascii="Times New Roman" w:hAnsi="Times New Roman"/>
              <w:sz w:val="28"/>
              <w:szCs w:val="28"/>
            </w:rPr>
            <w:fldChar w:fldCharType="end"/>
          </w:r>
          <w:r>
            <w:rPr>
              <w:rFonts w:ascii="Times New Roman" w:hAnsi="Times New Roman"/>
              <w:sz w:val="28"/>
              <w:szCs w:val="28"/>
            </w:rPr>
            <w:fldChar w:fldCharType="end"/>
          </w:r>
        </w:p>
        <w:p w14:paraId="3D78D640">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"_Toc225936091" </w:instrText>
          </w:r>
          <w:r>
            <w:fldChar w:fldCharType="separate"/>
          </w:r>
          <w:r>
            <w:rPr>
              <w:rStyle w:val="17"/>
              <w:rFonts w:ascii="Times New Roman" w:hAnsi="Times New Roman"/>
              <w:sz w:val="28"/>
              <w:szCs w:val="28"/>
            </w:rPr>
            <w:t>Отзыв лицензии у кредитной организации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_Toc225936091 \h </w:instrText>
          </w:r>
          <w:r>
            <w:rPr>
              <w:rFonts w:ascii="Times New Roman" w:hAnsi="Times New Roman"/>
              <w:sz w:val="28"/>
              <w:szCs w:val="28"/>
            </w:rPr>
            <w:fldChar w:fldCharType="separate"/>
          </w:r>
          <w:r>
            <w:rPr>
              <w:rFonts w:ascii="Times New Roman" w:hAnsi="Times New Roman"/>
              <w:sz w:val="28"/>
              <w:szCs w:val="28"/>
            </w:rPr>
            <w:t>60</w:t>
          </w:r>
          <w:r>
            <w:rPr>
              <w:rFonts w:ascii="Times New Roman" w:hAnsi="Times New Roman"/>
              <w:sz w:val="28"/>
              <w:szCs w:val="28"/>
            </w:rPr>
            <w:fldChar w:fldCharType="end"/>
          </w:r>
          <w:r>
            <w:rPr>
              <w:rFonts w:ascii="Times New Roman" w:hAnsi="Times New Roman"/>
              <w:sz w:val="28"/>
              <w:szCs w:val="28"/>
            </w:rPr>
            <w:fldChar w:fldCharType="end"/>
          </w:r>
        </w:p>
        <w:p w14:paraId="5FC03994">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"_Toc225936092" </w:instrText>
          </w:r>
          <w:r>
            <w:fldChar w:fldCharType="separate"/>
          </w:r>
          <w:r>
            <w:rPr>
              <w:rStyle w:val="17"/>
              <w:rFonts w:ascii="Times New Roman" w:hAnsi="Times New Roman"/>
              <w:sz w:val="28"/>
              <w:szCs w:val="28"/>
            </w:rPr>
            <w:t>Ликвидация кредитной организации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_Toc225936092 \h </w:instrText>
          </w:r>
          <w:r>
            <w:rPr>
              <w:rFonts w:ascii="Times New Roman" w:hAnsi="Times New Roman"/>
              <w:sz w:val="28"/>
              <w:szCs w:val="28"/>
            </w:rPr>
            <w:fldChar w:fldCharType="separate"/>
          </w:r>
          <w:r>
            <w:rPr>
              <w:rFonts w:ascii="Times New Roman" w:hAnsi="Times New Roman"/>
              <w:sz w:val="28"/>
              <w:szCs w:val="28"/>
            </w:rPr>
            <w:t>60</w:t>
          </w:r>
          <w:r>
            <w:rPr>
              <w:rFonts w:ascii="Times New Roman" w:hAnsi="Times New Roman"/>
              <w:sz w:val="28"/>
              <w:szCs w:val="28"/>
            </w:rPr>
            <w:fldChar w:fldCharType="end"/>
          </w:r>
          <w:r>
            <w:rPr>
              <w:rFonts w:ascii="Times New Roman" w:hAnsi="Times New Roman"/>
              <w:sz w:val="28"/>
              <w:szCs w:val="28"/>
            </w:rPr>
            <w:fldChar w:fldCharType="end"/>
          </w:r>
        </w:p>
        <w:p w14:paraId="6C6DC4EB">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"_Toc225936093" </w:instrText>
          </w:r>
          <w:r>
            <w:fldChar w:fldCharType="separate"/>
          </w:r>
          <w:r>
            <w:rPr>
              <w:rStyle w:val="17"/>
              <w:rFonts w:ascii="Times New Roman" w:hAnsi="Times New Roman"/>
              <w:sz w:val="28"/>
              <w:szCs w:val="28"/>
            </w:rPr>
            <w:t>РАЗДЕЛ 5. СВЕДЕНИЯ О ЦЕННЫХ БУМАГАХ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_Toc225936093 \h </w:instrText>
          </w:r>
          <w:r>
            <w:rPr>
              <w:rFonts w:ascii="Times New Roman" w:hAnsi="Times New Roman"/>
              <w:sz w:val="28"/>
              <w:szCs w:val="28"/>
            </w:rPr>
            <w:fldChar w:fldCharType="separate"/>
          </w:r>
          <w:r>
            <w:rPr>
              <w:rFonts w:ascii="Times New Roman" w:hAnsi="Times New Roman"/>
              <w:sz w:val="28"/>
              <w:szCs w:val="28"/>
            </w:rPr>
            <w:t>61</w:t>
          </w:r>
          <w:r>
            <w:rPr>
              <w:rFonts w:ascii="Times New Roman" w:hAnsi="Times New Roman"/>
              <w:sz w:val="28"/>
              <w:szCs w:val="28"/>
            </w:rPr>
            <w:fldChar w:fldCharType="end"/>
          </w:r>
          <w:r>
            <w:rPr>
              <w:rFonts w:ascii="Times New Roman" w:hAnsi="Times New Roman"/>
              <w:sz w:val="28"/>
              <w:szCs w:val="28"/>
            </w:rPr>
            <w:fldChar w:fldCharType="end"/>
          </w:r>
        </w:p>
        <w:p w14:paraId="4A2869A0">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"_Toc225936094" </w:instrText>
          </w:r>
          <w:r>
            <w:fldChar w:fldCharType="separate"/>
          </w:r>
          <w:r>
            <w:rPr>
              <w:rStyle w:val="17"/>
              <w:rFonts w:ascii="Times New Roman" w:hAnsi="Times New Roman"/>
              <w:sz w:val="28"/>
              <w:szCs w:val="28"/>
            </w:rPr>
            <w:t>Подраздел 5.1. Акции и иное участие в коммерческих организациях и фондах</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_Toc225936094 \h </w:instrText>
          </w:r>
          <w:r>
            <w:rPr>
              <w:rFonts w:ascii="Times New Roman" w:hAnsi="Times New Roman"/>
              <w:sz w:val="28"/>
              <w:szCs w:val="28"/>
            </w:rPr>
            <w:fldChar w:fldCharType="separate"/>
          </w:r>
          <w:r>
            <w:rPr>
              <w:rFonts w:ascii="Times New Roman" w:hAnsi="Times New Roman"/>
              <w:sz w:val="28"/>
              <w:szCs w:val="28"/>
            </w:rPr>
            <w:t>62</w:t>
          </w:r>
          <w:r>
            <w:rPr>
              <w:rFonts w:ascii="Times New Roman" w:hAnsi="Times New Roman"/>
              <w:sz w:val="28"/>
              <w:szCs w:val="28"/>
            </w:rPr>
            <w:fldChar w:fldCharType="end"/>
          </w:r>
          <w:r>
            <w:rPr>
              <w:rFonts w:ascii="Times New Roman" w:hAnsi="Times New Roman"/>
              <w:sz w:val="28"/>
              <w:szCs w:val="28"/>
            </w:rPr>
            <w:fldChar w:fldCharType="end"/>
          </w:r>
        </w:p>
        <w:p w14:paraId="0B68FB84">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"_Toc225936095" </w:instrText>
          </w:r>
          <w:r>
            <w:fldChar w:fldCharType="separate"/>
          </w:r>
          <w:r>
            <w:rPr>
              <w:rStyle w:val="17"/>
              <w:rFonts w:ascii="Times New Roman" w:hAnsi="Times New Roman"/>
              <w:sz w:val="28"/>
              <w:szCs w:val="28"/>
            </w:rPr>
            <w:t>Подраздел 5.2. Иные ценные бумаги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_Toc225936095 \h </w:instrText>
          </w:r>
          <w:r>
            <w:rPr>
              <w:rFonts w:ascii="Times New Roman" w:hAnsi="Times New Roman"/>
              <w:sz w:val="28"/>
              <w:szCs w:val="28"/>
            </w:rPr>
            <w:fldChar w:fldCharType="separate"/>
          </w:r>
          <w:r>
            <w:rPr>
              <w:rFonts w:ascii="Times New Roman" w:hAnsi="Times New Roman"/>
              <w:sz w:val="28"/>
              <w:szCs w:val="28"/>
            </w:rPr>
            <w:t>63</w:t>
          </w:r>
          <w:r>
            <w:rPr>
              <w:rFonts w:ascii="Times New Roman" w:hAnsi="Times New Roman"/>
              <w:sz w:val="28"/>
              <w:szCs w:val="28"/>
            </w:rPr>
            <w:fldChar w:fldCharType="end"/>
          </w:r>
          <w:r>
            <w:rPr>
              <w:rFonts w:ascii="Times New Roman" w:hAnsi="Times New Roman"/>
              <w:sz w:val="28"/>
              <w:szCs w:val="28"/>
            </w:rPr>
            <w:fldChar w:fldCharType="end"/>
          </w:r>
        </w:p>
        <w:p w14:paraId="5585A901">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"_Toc225936096" </w:instrText>
          </w:r>
          <w:r>
            <w:fldChar w:fldCharType="separate"/>
          </w:r>
          <w:r>
            <w:rPr>
              <w:rStyle w:val="17"/>
              <w:rFonts w:ascii="Times New Roman" w:hAnsi="Times New Roman"/>
              <w:sz w:val="28"/>
              <w:szCs w:val="28"/>
            </w:rPr>
            <w:t>РАЗДЕЛ 6. СВЕДЕНИЯ ОБ ОБЯЗАТЕЛЬСТВАХ ИМУЩЕСТВЕННОГО ХАРАКТЕРА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_Toc225936096 \h </w:instrText>
          </w:r>
          <w:r>
            <w:rPr>
              <w:rFonts w:ascii="Times New Roman" w:hAnsi="Times New Roman"/>
              <w:sz w:val="28"/>
              <w:szCs w:val="28"/>
            </w:rPr>
            <w:fldChar w:fldCharType="separate"/>
          </w:r>
          <w:r>
            <w:rPr>
              <w:rFonts w:ascii="Times New Roman" w:hAnsi="Times New Roman"/>
              <w:sz w:val="28"/>
              <w:szCs w:val="28"/>
            </w:rPr>
            <w:t>64</w:t>
          </w:r>
          <w:r>
            <w:rPr>
              <w:rFonts w:ascii="Times New Roman" w:hAnsi="Times New Roman"/>
              <w:sz w:val="28"/>
              <w:szCs w:val="28"/>
            </w:rPr>
            <w:fldChar w:fldCharType="end"/>
          </w:r>
          <w:r>
            <w:rPr>
              <w:rFonts w:ascii="Times New Roman" w:hAnsi="Times New Roman"/>
              <w:sz w:val="28"/>
              <w:szCs w:val="28"/>
            </w:rPr>
            <w:fldChar w:fldCharType="end"/>
          </w:r>
        </w:p>
        <w:p w14:paraId="03B17218">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"_Toc225936097" </w:instrText>
          </w:r>
          <w:r>
            <w:fldChar w:fldCharType="separate"/>
          </w:r>
          <w:r>
            <w:rPr>
              <w:rStyle w:val="17"/>
              <w:rFonts w:ascii="Times New Roman" w:hAnsi="Times New Roman"/>
              <w:sz w:val="28"/>
              <w:szCs w:val="28"/>
            </w:rPr>
            <w:t>Подраздел 6.1. Объекты недвижимого имущества, находящиеся в пользовании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_Toc225936097 \h </w:instrText>
          </w:r>
          <w:r>
            <w:rPr>
              <w:rFonts w:ascii="Times New Roman" w:hAnsi="Times New Roman"/>
              <w:sz w:val="28"/>
              <w:szCs w:val="28"/>
            </w:rPr>
            <w:fldChar w:fldCharType="separate"/>
          </w:r>
          <w:r>
            <w:rPr>
              <w:rFonts w:ascii="Times New Roman" w:hAnsi="Times New Roman"/>
              <w:sz w:val="28"/>
              <w:szCs w:val="28"/>
            </w:rPr>
            <w:t>64</w:t>
          </w:r>
          <w:r>
            <w:rPr>
              <w:rFonts w:ascii="Times New Roman" w:hAnsi="Times New Roman"/>
              <w:sz w:val="28"/>
              <w:szCs w:val="28"/>
            </w:rPr>
            <w:fldChar w:fldCharType="end"/>
          </w:r>
          <w:r>
            <w:rPr>
              <w:rFonts w:ascii="Times New Roman" w:hAnsi="Times New Roman"/>
              <w:sz w:val="28"/>
              <w:szCs w:val="28"/>
            </w:rPr>
            <w:fldChar w:fldCharType="end"/>
          </w:r>
        </w:p>
        <w:p w14:paraId="4972B751">
          <w:pPr>
            <w:pStyle w:val="32"/>
            <w:tabs>
              <w:tab w:val="right" w:leader="dot" w:pos="10195"/>
            </w:tabs>
            <w:rPr>
              <w:rFonts w:ascii="Times New Roman" w:hAnsi="Times New Roman" w:eastAsiaTheme="minorEastAsia"/>
              <w:sz w:val="28"/>
              <w:szCs w:val="28"/>
              <w:lang w:eastAsia="ru-RU"/>
            </w:rPr>
          </w:pPr>
          <w:r>
            <w:fldChar w:fldCharType="begin"/>
          </w:r>
          <w:r>
            <w:instrText xml:space="preserve"> HYPERLINK \l "_Toc225936098" </w:instrText>
          </w:r>
          <w:r>
            <w:fldChar w:fldCharType="separate"/>
          </w:r>
          <w:r>
            <w:rPr>
              <w:rStyle w:val="17"/>
              <w:rFonts w:ascii="Times New Roman" w:hAnsi="Times New Roman"/>
              <w:sz w:val="28"/>
              <w:szCs w:val="28"/>
            </w:rPr>
            <w:t>Подраздел 6.2. Срочные обязательства финансового характера</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_Toc225936098 \h </w:instrText>
          </w:r>
          <w:r>
            <w:rPr>
              <w:rFonts w:ascii="Times New Roman" w:hAnsi="Times New Roman"/>
              <w:sz w:val="28"/>
              <w:szCs w:val="28"/>
            </w:rPr>
            <w:fldChar w:fldCharType="separate"/>
          </w:r>
          <w:r>
            <w:rPr>
              <w:rFonts w:ascii="Times New Roman" w:hAnsi="Times New Roman"/>
              <w:sz w:val="28"/>
              <w:szCs w:val="28"/>
            </w:rPr>
            <w:t>66</w:t>
          </w:r>
          <w:r>
            <w:rPr>
              <w:rFonts w:ascii="Times New Roman" w:hAnsi="Times New Roman"/>
              <w:sz w:val="28"/>
              <w:szCs w:val="28"/>
            </w:rPr>
            <w:fldChar w:fldCharType="end"/>
          </w:r>
          <w:r>
            <w:rPr>
              <w:rFonts w:ascii="Times New Roman" w:hAnsi="Times New Roman"/>
              <w:sz w:val="28"/>
              <w:szCs w:val="28"/>
            </w:rPr>
            <w:fldChar w:fldCharType="end"/>
          </w:r>
        </w:p>
        <w:p w14:paraId="50EF8BE5">
          <w:pPr>
            <w:pStyle w:val="33"/>
            <w:tabs>
              <w:tab w:val="right" w:leader="dot" w:pos="10195"/>
            </w:tabs>
            <w:rPr>
              <w:rFonts w:ascii="Times New Roman" w:hAnsi="Times New Roman" w:eastAsiaTheme="minorEastAsia"/>
              <w:sz w:val="28"/>
              <w:szCs w:val="28"/>
              <w:lang w:eastAsia="ru-RU"/>
            </w:rPr>
          </w:pPr>
          <w:r>
            <w:fldChar w:fldCharType="begin"/>
          </w:r>
          <w:r>
            <w:instrText xml:space="preserve"> HYPERLINK \l "_Toc225936099" </w:instrText>
          </w:r>
          <w:r>
            <w:fldChar w:fldCharType="separate"/>
          </w:r>
          <w:r>
            <w:rPr>
              <w:rStyle w:val="17"/>
              <w:rFonts w:ascii="Times New Roman" w:hAnsi="Times New Roman"/>
              <w:sz w:val="28"/>
              <w:szCs w:val="28"/>
            </w:rPr>
            <w:t>РАЗДЕЛ 7.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ОТЧЕТНОГО ПЕРИОДА В РЕЗУЛЬТАТЕ БЕЗВОЗМЕЗДНОЙ СДЕЛКИ</w:t>
          </w:r>
          <w:r>
            <w:rPr>
              <w:rFonts w:ascii="Times New Roman" w:hAnsi="Times New Roman"/>
              <w:sz w:val="28"/>
              <w:szCs w:val="28"/>
            </w:rPr>
            <w:tab/>
          </w:r>
          <w:r>
            <w:rPr>
              <w:rFonts w:ascii="Times New Roman" w:hAnsi="Times New Roman"/>
              <w:sz w:val="28"/>
              <w:szCs w:val="28"/>
            </w:rPr>
            <w:fldChar w:fldCharType="begin"/>
          </w:r>
          <w:r>
            <w:rPr>
              <w:rFonts w:ascii="Times New Roman" w:hAnsi="Times New Roman"/>
              <w:sz w:val="28"/>
              <w:szCs w:val="28"/>
            </w:rPr>
            <w:instrText xml:space="preserve"> PAGEREF _Toc225936099 \h </w:instrText>
          </w:r>
          <w:r>
            <w:rPr>
              <w:rFonts w:ascii="Times New Roman" w:hAnsi="Times New Roman"/>
              <w:sz w:val="28"/>
              <w:szCs w:val="28"/>
            </w:rPr>
            <w:fldChar w:fldCharType="separate"/>
          </w:r>
          <w:r>
            <w:rPr>
              <w:rFonts w:ascii="Times New Roman" w:hAnsi="Times New Roman"/>
              <w:sz w:val="28"/>
              <w:szCs w:val="28"/>
            </w:rPr>
            <w:t>71</w:t>
          </w:r>
          <w:r>
            <w:rPr>
              <w:rFonts w:ascii="Times New Roman" w:hAnsi="Times New Roman"/>
              <w:sz w:val="28"/>
              <w:szCs w:val="28"/>
            </w:rPr>
            <w:fldChar w:fldCharType="end"/>
          </w:r>
          <w:r>
            <w:rPr>
              <w:rFonts w:ascii="Times New Roman" w:hAnsi="Times New Roman"/>
              <w:sz w:val="28"/>
              <w:szCs w:val="28"/>
            </w:rPr>
            <w:fldChar w:fldCharType="end"/>
          </w:r>
        </w:p>
        <w:p w14:paraId="7017D2B1">
          <w:pPr>
            <w:outlineLvl w:val="0"/>
            <w:rPr>
              <w:rFonts w:ascii="Times New Roman" w:hAnsi="Times New Roman"/>
              <w:sz w:val="28"/>
              <w:szCs w:val="28"/>
            </w:rPr>
          </w:pPr>
          <w:r>
            <w:rPr>
              <w:rFonts w:ascii="Times New Roman" w:hAnsi="Times New Roman"/>
              <w:bCs/>
              <w:sz w:val="28"/>
              <w:szCs w:val="28"/>
            </w:rPr>
            <w:fldChar w:fldCharType="end"/>
          </w:r>
        </w:p>
      </w:sdtContent>
    </w:sdt>
    <w:p w14:paraId="4C806293">
      <w:pPr>
        <w:ind w:firstLine="0"/>
        <w:jc w:val="center"/>
        <w:rPr>
          <w:rFonts w:ascii="Times New Roman" w:hAnsi="Times New Roman"/>
          <w:sz w:val="28"/>
          <w:szCs w:val="28"/>
        </w:rPr>
      </w:pPr>
    </w:p>
    <w:p w14:paraId="07930DE0">
      <w:pPr>
        <w:ind w:firstLine="0"/>
        <w:jc w:val="left"/>
        <w:rPr>
          <w:rFonts w:ascii="Times New Roman" w:hAnsi="Times New Roman"/>
          <w:sz w:val="28"/>
          <w:szCs w:val="28"/>
        </w:rPr>
      </w:pPr>
      <w:r>
        <w:rPr>
          <w:rFonts w:ascii="Times New Roman" w:hAnsi="Times New Roman"/>
          <w:sz w:val="28"/>
          <w:szCs w:val="28"/>
        </w:rPr>
        <w:br w:type="page"/>
      </w:r>
    </w:p>
    <w:p w14:paraId="083807C1">
      <w:pPr>
        <w:pStyle w:val="2"/>
        <w:ind w:firstLine="567"/>
        <w:rPr>
          <w:rFonts w:ascii="Times New Roman" w:hAnsi="Times New Roman"/>
          <w:b/>
          <w:sz w:val="28"/>
        </w:rPr>
      </w:pPr>
      <w:bookmarkStart w:id="0" w:name="_Toc225936053"/>
      <w:r>
        <w:rPr>
          <w:rFonts w:ascii="Times New Roman" w:hAnsi="Times New Roman"/>
          <w:b/>
          <w:sz w:val="28"/>
          <w:szCs w:val="28"/>
        </w:rPr>
        <w:t>Введение</w:t>
      </w:r>
      <w:bookmarkEnd w:id="0"/>
    </w:p>
    <w:p w14:paraId="2F88118F">
      <w:pPr>
        <w:ind w:firstLine="567"/>
        <w:rPr>
          <w:rFonts w:ascii="Times New Roman" w:hAnsi="Times New Roman"/>
          <w:sz w:val="28"/>
          <w:szCs w:val="28"/>
        </w:rPr>
      </w:pPr>
      <w:r>
        <w:rPr>
          <w:rFonts w:ascii="Times New Roman" w:hAnsi="Times New Roman"/>
          <w:sz w:val="28"/>
          <w:szCs w:val="28"/>
        </w:rPr>
        <w:t xml:space="preserve">Данные Методические рекомендации разработаны с целью рассмотрения отдельных ситуаций, возникающих при заполнении справок о доходах, расходах, об имуществе и обязательствах имущественного характера, носят рекомендательный характер и не являются нормативным правовым актом Российской Федерации. </w:t>
      </w:r>
    </w:p>
    <w:p w14:paraId="121663DC">
      <w:pPr>
        <w:ind w:firstLine="567"/>
        <w:rPr>
          <w:rFonts w:ascii="Times New Roman" w:hAnsi="Times New Roman"/>
          <w:sz w:val="28"/>
          <w:szCs w:val="28"/>
        </w:rPr>
      </w:pPr>
      <w:r>
        <w:rPr>
          <w:rFonts w:ascii="Times New Roman" w:hAnsi="Times New Roman"/>
          <w:sz w:val="28"/>
          <w:szCs w:val="28"/>
        </w:rPr>
        <w:t xml:space="preserve">В соответствии с пунктом 25 Указа Президента Российской Федерации от 2 апреля 2013 г. № 309 "О мерах по реализации отдельных положений Федерального закона "О противодействии коррупции" Министерство труда и социальной защиты Российской Федерации осуществляет оказание консультативной и методической помощи в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 федеральным государственным органам, государственным внебюджетным фондам Российской Федерации, иным организациям, созданным на основании федеральных законов, а также уполномочено издавать </w:t>
      </w:r>
      <w:r>
        <w:fldChar w:fldCharType="begin"/>
      </w:r>
      <w:r>
        <w:instrText xml:space="preserve"> HYPERLINK "consultantplus://offline/ref=57E0B1C8ADAC653FBEA55D1E9049ED91A63B5BC1BDB036D12C5B445229pEa3J" \o "consultantplus://offline/ref=57E0B1C8ADAC653FBEA55D1E9049ED91A63B5BC1BDB036D12C5B445229pEa3J" </w:instrText>
      </w:r>
      <w:r>
        <w:fldChar w:fldCharType="separate"/>
      </w:r>
      <w:r>
        <w:rPr>
          <w:rFonts w:ascii="Times New Roman" w:hAnsi="Times New Roman"/>
          <w:sz w:val="28"/>
          <w:szCs w:val="28"/>
        </w:rPr>
        <w:t>методические рекомендации</w:t>
      </w:r>
      <w:r>
        <w:rPr>
          <w:rFonts w:ascii="Times New Roman" w:hAnsi="Times New Roman"/>
          <w:sz w:val="28"/>
          <w:szCs w:val="28"/>
        </w:rPr>
        <w:fldChar w:fldCharType="end"/>
      </w:r>
      <w:r>
        <w:rPr>
          <w:rFonts w:ascii="Times New Roman" w:hAnsi="Times New Roman"/>
          <w:sz w:val="28"/>
          <w:szCs w:val="28"/>
        </w:rPr>
        <w:t xml:space="preserve"> и другие инструктивно-методические материалы по данным вопросам.</w:t>
      </w:r>
    </w:p>
    <w:p w14:paraId="00019849">
      <w:pPr>
        <w:ind w:firstLine="567"/>
        <w:rPr>
          <w:rFonts w:ascii="Times New Roman" w:hAnsi="Times New Roman"/>
          <w:sz w:val="28"/>
        </w:rPr>
      </w:pPr>
      <w:r>
        <w:rPr>
          <w:rFonts w:ascii="Times New Roman" w:hAnsi="Times New Roman"/>
          <w:sz w:val="28"/>
        </w:rPr>
        <w:t>Исходя из положения пункта 2 раздела 4 протокола заседания президиума Совета при Президенте Российской Федерации по противодействию коррупции от 24 апреля 2015 г. № 47 федеральным государственным органам, органам государственной власти субъектов Российской Федерации, органам местного самоуправления, государственным корпорациям (компаниям), государственным внебюджетным фондам Российской Федерации и иным организациям, созданным Российской Федерацией на основании законов, а также организациям, создаваемым для выполнения задач, поставленных перед федеральными государственными органами, поручено при реализации требований законодательства о противодействии коррупции руководствоваться издаваемыми Минтрудом России методическими рекомендациями и другими инструктивно-методическими материалами.</w:t>
      </w:r>
    </w:p>
    <w:p w14:paraId="583BE62F">
      <w:pPr>
        <w:ind w:firstLine="567"/>
        <w:rPr>
          <w:rFonts w:ascii="Times New Roman" w:hAnsi="Times New Roman"/>
          <w:sz w:val="28"/>
          <w:szCs w:val="28"/>
        </w:rPr>
      </w:pPr>
      <w:r>
        <w:rPr>
          <w:rFonts w:ascii="Times New Roman" w:hAnsi="Times New Roman"/>
          <w:sz w:val="28"/>
          <w:szCs w:val="28"/>
        </w:rPr>
        <w:t>В свою очередь, исходя из Типового положения о подразделении федерального государственного органа по профилактике коррупционных и иных правонарушений и Типового положения об органе субъекта Российской Федерации по профилактике коррупционных и иных правонарушений, утвержденных Указом Президента Российской Федерации от 15 июля 2015 г. № 364 "О мерах по совершенствованию организации деятельности в области противодействия коррупции", уполномоченным на оказание консультативной помощи по вопросам, связанным с применением законодательства Российской Федерации о противодействии коррупции, является подразделение государственного органа, органа местного самоуправления или организации по профилактике коррупционных и иных правонарушений (орган субъекта Российской Федерации по профилактике коррупционных и иных правонарушений).</w:t>
      </w:r>
    </w:p>
    <w:p w14:paraId="0CFA85BA">
      <w:pPr>
        <w:ind w:firstLine="567"/>
        <w:rPr>
          <w:rFonts w:ascii="Times New Roman" w:hAnsi="Times New Roman"/>
          <w:sz w:val="28"/>
          <w:szCs w:val="28"/>
        </w:rPr>
      </w:pPr>
      <w:r>
        <w:rPr>
          <w:rFonts w:ascii="Times New Roman" w:hAnsi="Times New Roman"/>
          <w:sz w:val="28"/>
          <w:szCs w:val="28"/>
        </w:rPr>
        <w:t>В этой связи лица, на которых возложены ограничения и запреты, требования о предотвращении или об урегулировании конфликта интересов, обязанности, установленные Федеральным законом от 25 декабря 2008 г. № 273-ФЗ "О противодействии коррупции", другими федеральными законами в целях противодействия коррупции, для получения соответствующей консультативной помощи, в том числе по вопросам заполнения справки о доходах, расходах, об имуществе и обязательствах имущественного характера, форма которой утверждена Указом Президента Российской Федерации от 23 июня 2014 г.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справка), обращаются в указанное подразделение органа (орган).</w:t>
      </w:r>
    </w:p>
    <w:p w14:paraId="01E8DA16">
      <w:pPr>
        <w:ind w:firstLine="567"/>
        <w:rPr>
          <w:rFonts w:ascii="Times New Roman" w:hAnsi="Times New Roman"/>
          <w:sz w:val="28"/>
          <w:szCs w:val="28"/>
        </w:rPr>
      </w:pPr>
      <w:r>
        <w:rPr>
          <w:rFonts w:ascii="Times New Roman" w:hAnsi="Times New Roman"/>
          <w:sz w:val="28"/>
          <w:szCs w:val="28"/>
        </w:rPr>
        <w:t>При возникновении у таких подразделений (органов) сложностей в предоставлении консультаций сотрудникам таких подразделений (органов) рекомендуется сначала обратиться в рабочем порядке к ответственным специалистам Департамента проектной деятельности и государственной политики в сфере государственной и муниципальной службы Минтруда России в части разрешения сложившейся ситуации, а после рабочего взаимодействия при необходимости направить официальный запрос с приложением всех материалов, характеризующих ситуацию, с просьбой оказать консультативную помощь такому подразделению.</w:t>
      </w:r>
    </w:p>
    <w:p w14:paraId="5D03233B">
      <w:pPr>
        <w:ind w:firstLine="567"/>
        <w:rPr>
          <w:rFonts w:ascii="Times New Roman" w:hAnsi="Times New Roman"/>
          <w:sz w:val="28"/>
          <w:szCs w:val="28"/>
        </w:rPr>
      </w:pPr>
      <w:r>
        <w:rPr>
          <w:rFonts w:ascii="Times New Roman" w:hAnsi="Times New Roman"/>
          <w:sz w:val="28"/>
          <w:szCs w:val="28"/>
        </w:rPr>
        <w:t>При этом подразделениям по профилактике коррупционных и иных правонарушений</w:t>
      </w:r>
      <w:r>
        <w:rPr>
          <w:rStyle w:val="15"/>
          <w:rFonts w:ascii="Times New Roman" w:hAnsi="Times New Roman"/>
          <w:sz w:val="28"/>
          <w:szCs w:val="28"/>
        </w:rPr>
        <w:t xml:space="preserve"> </w:t>
      </w:r>
      <w:r>
        <w:rPr>
          <w:rFonts w:ascii="Times New Roman" w:hAnsi="Times New Roman"/>
          <w:sz w:val="28"/>
          <w:szCs w:val="28"/>
        </w:rPr>
        <w:t>территориальных органов федеральных государственных органов, государственных внебюджетных фондов Российской Федерации или аналогичным подразделениям организаций, создаваемых для выполнения задач, поставленных перед федеральными государственными органами, целесообразно в первую очередь обращаться в соответствующий центральный аппарат. Аналогично подразделениям по профилактике коррупционных и иных правонарушений государственных органов субъектов Российской Федерации и органов местного самоуправления целесообразно в первую очередь обращаться в соответствующий орган субъекта Российской Федерации по профилактике коррупционных и иных правонарушений.</w:t>
      </w:r>
    </w:p>
    <w:p w14:paraId="17E817E6">
      <w:pPr>
        <w:ind w:firstLine="567"/>
        <w:contextualSpacing/>
        <w:rPr>
          <w:rFonts w:ascii="Times New Roman" w:hAnsi="Times New Roman"/>
          <w:sz w:val="28"/>
          <w:szCs w:val="28"/>
        </w:rPr>
      </w:pPr>
      <w:r>
        <w:rPr>
          <w:rFonts w:ascii="Times New Roman" w:hAnsi="Times New Roman"/>
          <w:sz w:val="28"/>
          <w:szCs w:val="28"/>
        </w:rPr>
        <w:t xml:space="preserve">Вопросы, связанные с использованием </w:t>
      </w:r>
      <w:r>
        <w:rPr>
          <w:rFonts w:ascii="Times New Roman" w:hAnsi="Times New Roman"/>
          <w:color w:val="000000"/>
          <w:sz w:val="28"/>
          <w:szCs w:val="28"/>
        </w:rPr>
        <w:t xml:space="preserve">специального программного обеспечения "Справки БК" (далее – СПО "Справки БК") </w:t>
      </w:r>
      <w:r>
        <w:rPr>
          <w:rFonts w:ascii="Times New Roman" w:hAnsi="Times New Roman"/>
          <w:sz w:val="28"/>
          <w:szCs w:val="28"/>
        </w:rPr>
        <w:t xml:space="preserve">версии 3.0.4 и выше, могут быть направлены исключительно сотрудниками </w:t>
      </w:r>
      <w:r>
        <w:rPr>
          <w:rFonts w:ascii="Times New Roman" w:hAnsi="Times New Roman" w:eastAsia="Times New Roman"/>
          <w:sz w:val="28"/>
          <w:szCs w:val="28"/>
        </w:rPr>
        <w:t xml:space="preserve">подразделений государственных органов, органов местного самоуправления или организаций по профилактике коррупционных и иных правонарушений (должностными лицами, ответственными за работу по профилактике коррупционных и иных правонарушений), а также сотрудниками </w:t>
      </w:r>
      <w:r>
        <w:rPr>
          <w:rFonts w:ascii="Times New Roman" w:hAnsi="Times New Roman"/>
          <w:sz w:val="28"/>
          <w:szCs w:val="28"/>
        </w:rPr>
        <w:t>органов субъектов Российской Федерации по профилактике коррупционных и иных правонарушений</w:t>
      </w:r>
      <w:r>
        <w:rPr>
          <w:rFonts w:ascii="Times New Roman" w:hAnsi="Times New Roman" w:eastAsia="Times New Roman"/>
          <w:sz w:val="28"/>
          <w:szCs w:val="28"/>
        </w:rPr>
        <w:t xml:space="preserve"> на адрес </w:t>
      </w:r>
      <w:r>
        <w:rPr>
          <w:rFonts w:ascii="Times New Roman" w:hAnsi="Times New Roman"/>
          <w:sz w:val="28"/>
          <w:szCs w:val="28"/>
        </w:rPr>
        <w:t xml:space="preserve">электронной почты: </w:t>
      </w:r>
      <w:r>
        <w:fldChar w:fldCharType="begin"/>
      </w:r>
      <w:r>
        <w:instrText xml:space="preserve"> HYPERLINK "mailto:spravki_bk@mintrud.gov.ru" </w:instrText>
      </w:r>
      <w:r>
        <w:fldChar w:fldCharType="separate"/>
      </w:r>
      <w:r>
        <w:rPr>
          <w:rStyle w:val="17"/>
          <w:rFonts w:ascii="Times New Roman" w:hAnsi="Times New Roman" w:eastAsia="Times New Roman"/>
          <w:sz w:val="28"/>
          <w:szCs w:val="28"/>
          <w:lang w:val="en-US"/>
        </w:rPr>
        <w:t>spravki</w:t>
      </w:r>
      <w:r>
        <w:rPr>
          <w:rStyle w:val="17"/>
          <w:rFonts w:ascii="Times New Roman" w:hAnsi="Times New Roman" w:eastAsia="Times New Roman"/>
          <w:sz w:val="28"/>
          <w:szCs w:val="28"/>
        </w:rPr>
        <w:t>_</w:t>
      </w:r>
      <w:r>
        <w:rPr>
          <w:rStyle w:val="17"/>
          <w:rFonts w:ascii="Times New Roman" w:hAnsi="Times New Roman" w:eastAsia="Times New Roman"/>
          <w:sz w:val="28"/>
          <w:szCs w:val="28"/>
          <w:lang w:val="en-US"/>
        </w:rPr>
        <w:t>bk</w:t>
      </w:r>
      <w:r>
        <w:rPr>
          <w:rStyle w:val="17"/>
          <w:rFonts w:ascii="Times New Roman" w:hAnsi="Times New Roman" w:eastAsia="Times New Roman"/>
          <w:sz w:val="28"/>
          <w:szCs w:val="28"/>
        </w:rPr>
        <w:t>@</w:t>
      </w:r>
      <w:r>
        <w:rPr>
          <w:rStyle w:val="17"/>
          <w:rFonts w:ascii="Times New Roman" w:hAnsi="Times New Roman" w:eastAsia="Times New Roman"/>
          <w:sz w:val="28"/>
          <w:szCs w:val="28"/>
          <w:lang w:val="en-US"/>
        </w:rPr>
        <w:t>mintrud</w:t>
      </w:r>
      <w:r>
        <w:rPr>
          <w:rStyle w:val="17"/>
          <w:rFonts w:ascii="Times New Roman" w:hAnsi="Times New Roman" w:eastAsia="Times New Roman"/>
          <w:sz w:val="28"/>
          <w:szCs w:val="28"/>
        </w:rPr>
        <w:t>.</w:t>
      </w:r>
      <w:r>
        <w:rPr>
          <w:rStyle w:val="17"/>
          <w:rFonts w:ascii="Times New Roman" w:hAnsi="Times New Roman" w:eastAsia="Times New Roman"/>
          <w:sz w:val="28"/>
          <w:szCs w:val="28"/>
          <w:lang w:val="en-US"/>
        </w:rPr>
        <w:t>gov</w:t>
      </w:r>
      <w:r>
        <w:rPr>
          <w:rStyle w:val="17"/>
          <w:rFonts w:ascii="Times New Roman" w:hAnsi="Times New Roman" w:eastAsia="Times New Roman"/>
          <w:sz w:val="28"/>
          <w:szCs w:val="28"/>
        </w:rPr>
        <w:t>.</w:t>
      </w:r>
      <w:r>
        <w:rPr>
          <w:rStyle w:val="17"/>
          <w:rFonts w:ascii="Times New Roman" w:hAnsi="Times New Roman" w:eastAsia="Times New Roman"/>
          <w:sz w:val="28"/>
          <w:szCs w:val="28"/>
          <w:lang w:val="en-US"/>
        </w:rPr>
        <w:t>ru</w:t>
      </w:r>
      <w:r>
        <w:rPr>
          <w:rStyle w:val="17"/>
          <w:rFonts w:ascii="Times New Roman" w:hAnsi="Times New Roman" w:eastAsia="Times New Roman"/>
          <w:sz w:val="28"/>
          <w:szCs w:val="28"/>
          <w:lang w:val="en-US"/>
        </w:rPr>
        <w:fldChar w:fldCharType="end"/>
      </w:r>
      <w:r>
        <w:rPr>
          <w:rFonts w:ascii="Times New Roman" w:hAnsi="Times New Roman" w:eastAsia="Times New Roman"/>
          <w:sz w:val="28"/>
          <w:szCs w:val="28"/>
        </w:rPr>
        <w:t xml:space="preserve"> с указанием фамилии, имени, отчества (при наличии), должности, структурного подразделения, наименования органа публичной власти (организации), а также контактного номера телефона. Впоследствии поступившие вопросы будут передаваться представителями Минтруда России разработчикам СПО "Справки БК".</w:t>
      </w:r>
    </w:p>
    <w:p w14:paraId="5C6B72D7">
      <w:pPr>
        <w:ind w:firstLine="567"/>
        <w:rPr>
          <w:rFonts w:ascii="Times New Roman" w:hAnsi="Times New Roman"/>
          <w:sz w:val="28"/>
          <w:szCs w:val="28"/>
        </w:rPr>
      </w:pPr>
    </w:p>
    <w:p w14:paraId="1C99E4B8">
      <w:pPr>
        <w:pStyle w:val="193"/>
        <w:tabs>
          <w:tab w:val="left" w:pos="426"/>
        </w:tabs>
        <w:ind w:left="0" w:firstLine="0"/>
        <w:jc w:val="center"/>
        <w:rPr>
          <w:rFonts w:ascii="Times New Roman" w:hAnsi="Times New Roman"/>
          <w:b/>
          <w:sz w:val="28"/>
          <w:szCs w:val="28"/>
        </w:rPr>
      </w:pPr>
      <w:r>
        <w:rPr>
          <w:rFonts w:ascii="Times New Roman" w:hAnsi="Times New Roman"/>
          <w:b/>
          <w:sz w:val="28"/>
          <w:szCs w:val="28"/>
          <w:lang w:val="en-US"/>
        </w:rPr>
        <w:t>I</w:t>
      </w:r>
      <w:r>
        <w:rPr>
          <w:rFonts w:ascii="Times New Roman" w:hAnsi="Times New Roman"/>
          <w:b/>
          <w:sz w:val="28"/>
          <w:szCs w:val="28"/>
        </w:rPr>
        <w:t xml:space="preserve">. Представление сведений о доходах, расходах, об имуществе </w:t>
      </w:r>
      <w:r>
        <w:rPr>
          <w:rFonts w:ascii="Times New Roman" w:hAnsi="Times New Roman"/>
          <w:b/>
          <w:sz w:val="28"/>
          <w:szCs w:val="28"/>
        </w:rPr>
        <w:br w:type="textWrapping"/>
      </w:r>
      <w:r>
        <w:rPr>
          <w:rFonts w:ascii="Times New Roman" w:hAnsi="Times New Roman"/>
          <w:b/>
          <w:sz w:val="28"/>
          <w:szCs w:val="28"/>
        </w:rPr>
        <w:t>и обязательствах имущественного характера</w:t>
      </w:r>
    </w:p>
    <w:p w14:paraId="56E81DFD">
      <w:pPr>
        <w:jc w:val="center"/>
        <w:rPr>
          <w:rFonts w:ascii="Times New Roman" w:hAnsi="Times New Roman"/>
          <w:sz w:val="28"/>
          <w:szCs w:val="28"/>
        </w:rPr>
      </w:pPr>
    </w:p>
    <w:p w14:paraId="21D36720">
      <w:pPr>
        <w:tabs>
          <w:tab w:val="left" w:pos="567"/>
        </w:tabs>
        <w:ind w:firstLine="567"/>
        <w:rPr>
          <w:rFonts w:ascii="Times New Roman" w:hAnsi="Times New Roman"/>
          <w:sz w:val="28"/>
          <w:szCs w:val="28"/>
        </w:rPr>
      </w:pPr>
      <w:r>
        <w:rPr>
          <w:rFonts w:ascii="Times New Roman" w:hAnsi="Times New Roman"/>
          <w:sz w:val="28"/>
          <w:szCs w:val="28"/>
        </w:rPr>
        <w:t>Представление сведений о доходах, расходах, об имуществе и обязательствах имущественного характера является обязанностью соответствующего лица, предусмотренной антикоррупционным законодательством.</w:t>
      </w:r>
    </w:p>
    <w:p w14:paraId="462805E6">
      <w:pPr>
        <w:pStyle w:val="3"/>
        <w:rPr>
          <w:b w:val="0"/>
        </w:rPr>
      </w:pPr>
      <w:bookmarkStart w:id="1" w:name="_Лица,_обязанные_представлять"/>
      <w:bookmarkEnd w:id="1"/>
      <w:bookmarkStart w:id="2" w:name="_Toc225936054"/>
      <w:r>
        <w:t>Лица, обязанные представлять сведения о доходах, расходах, об имуществе и обязательствах имущественного характера</w:t>
      </w:r>
      <w:bookmarkEnd w:id="2"/>
    </w:p>
    <w:p w14:paraId="08772924">
      <w:pPr>
        <w:pStyle w:val="193"/>
        <w:numPr>
          <w:ilvl w:val="0"/>
          <w:numId w:val="1"/>
        </w:numPr>
        <w:tabs>
          <w:tab w:val="left" w:pos="567"/>
          <w:tab w:val="left" w:pos="993"/>
        </w:tabs>
        <w:ind w:left="0" w:firstLine="567"/>
        <w:rPr>
          <w:rFonts w:ascii="Times New Roman" w:hAnsi="Times New Roman"/>
          <w:sz w:val="28"/>
          <w:szCs w:val="28"/>
        </w:rPr>
      </w:pPr>
      <w:r>
        <w:rPr>
          <w:rFonts w:ascii="Times New Roman" w:hAnsi="Times New Roman"/>
          <w:sz w:val="28"/>
          <w:szCs w:val="28"/>
        </w:rPr>
        <w:t>Сведения о доходах, об имуществе и обязательствах имущественного характера, предусмотренные Федеральным законом от 25 декабря 2008 г. № 273-ФЗ "О противодействии коррупции", и сведения о расходах, предусмотренные Федеральным законом от 3 декабря 2012 г. № 230-ФЗ "О контроле за соответствием расходов лиц, замещающих государственные должности, и иных лиц их доходам" (далее совместно – Сведения), при наличии оснований представляются по форме справки лицами, замещающими должности, осуществление полномочий по которым влечет за собой обязанность представлять такие Сведения (далее – служащий (работник)), а именно:</w:t>
      </w:r>
    </w:p>
    <w:p w14:paraId="5E7202B9">
      <w:pPr>
        <w:pStyle w:val="193"/>
        <w:numPr>
          <w:ilvl w:val="0"/>
          <w:numId w:val="2"/>
        </w:numPr>
        <w:tabs>
          <w:tab w:val="left" w:pos="567"/>
          <w:tab w:val="left" w:pos="993"/>
        </w:tabs>
        <w:ind w:left="0" w:firstLine="567"/>
        <w:contextualSpacing w:val="0"/>
        <w:rPr>
          <w:rFonts w:ascii="Times New Roman" w:hAnsi="Times New Roman"/>
          <w:sz w:val="28"/>
          <w:szCs w:val="28"/>
        </w:rPr>
      </w:pPr>
      <w:r>
        <w:rPr>
          <w:rFonts w:ascii="Times New Roman" w:hAnsi="Times New Roman"/>
          <w:sz w:val="28"/>
          <w:szCs w:val="28"/>
        </w:rPr>
        <w:t>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w:t>
      </w:r>
    </w:p>
    <w:p w14:paraId="517301D2">
      <w:pPr>
        <w:pStyle w:val="193"/>
        <w:numPr>
          <w:ilvl w:val="0"/>
          <w:numId w:val="2"/>
        </w:numPr>
        <w:tabs>
          <w:tab w:val="left" w:pos="567"/>
          <w:tab w:val="left" w:pos="993"/>
        </w:tabs>
        <w:ind w:left="0" w:firstLine="567"/>
        <w:rPr>
          <w:rFonts w:ascii="Times New Roman" w:hAnsi="Times New Roman"/>
          <w:sz w:val="28"/>
          <w:szCs w:val="28"/>
        </w:rPr>
      </w:pPr>
      <w:r>
        <w:rPr>
          <w:rFonts w:ascii="Times New Roman" w:hAnsi="Times New Roman"/>
          <w:sz w:val="28"/>
          <w:szCs w:val="28"/>
        </w:rPr>
        <w:t xml:space="preserve">государственными и муниципальными служащими, замещающими должности, включенные в </w:t>
      </w:r>
      <w:r>
        <w:fldChar w:fldCharType="begin"/>
      </w:r>
      <w:r>
        <w:instrText xml:space="preserve"> HYPERLINK "consultantplus://offline/ref=C9E7374AA1332C6CF9FF0059DC9BC42D7E0C4094E90E8D4E87A0DE0B00JBsBL" \o "consultantplus://offline/ref=C9E7374AA1332C6CF9FF0059DC9BC42D7E0C4094E90E8D4E87A0DE0B00JBsBL" </w:instrText>
      </w:r>
      <w:r>
        <w:fldChar w:fldCharType="separate"/>
      </w:r>
      <w:r>
        <w:rPr>
          <w:rFonts w:ascii="Times New Roman" w:hAnsi="Times New Roman"/>
          <w:sz w:val="28"/>
          <w:szCs w:val="28"/>
        </w:rPr>
        <w:t>перечни</w:t>
      </w:r>
      <w:r>
        <w:rPr>
          <w:rFonts w:ascii="Times New Roman" w:hAnsi="Times New Roman"/>
          <w:sz w:val="28"/>
          <w:szCs w:val="28"/>
        </w:rPr>
        <w:fldChar w:fldCharType="end"/>
      </w:r>
      <w:r>
        <w:rPr>
          <w:rFonts w:ascii="Times New Roman" w:hAnsi="Times New Roman"/>
          <w:sz w:val="28"/>
          <w:szCs w:val="28"/>
        </w:rPr>
        <w:t>, утвержденные нормативными правовыми актами Российской Федерации;</w:t>
      </w:r>
    </w:p>
    <w:p w14:paraId="4419BD5D">
      <w:pPr>
        <w:pStyle w:val="193"/>
        <w:numPr>
          <w:ilvl w:val="0"/>
          <w:numId w:val="2"/>
        </w:numPr>
        <w:tabs>
          <w:tab w:val="left" w:pos="567"/>
          <w:tab w:val="left" w:pos="993"/>
        </w:tabs>
        <w:ind w:left="0" w:firstLine="567"/>
        <w:rPr>
          <w:rFonts w:ascii="Times New Roman" w:hAnsi="Times New Roman"/>
          <w:sz w:val="28"/>
          <w:szCs w:val="28"/>
        </w:rPr>
      </w:pPr>
      <w:r>
        <w:rPr>
          <w:rFonts w:ascii="Times New Roman" w:hAnsi="Times New Roman"/>
          <w:sz w:val="28"/>
          <w:szCs w:val="28"/>
        </w:rPr>
        <w:t>работниками государственных внебюджетных фондов Российской Федерации, государственных корпораций (компаний), публично-правовых компаний, иных организаций, созданных Российской Федерацией на основании федеральных законов, замещающими должности, назначение на которые и освобождение от которых осуществляются Президентом Российской Федерации или Правительством Российской Федерации, либо должности, включенные в перечни, утвержденные нормативными правовыми актами Российской Федерации, и (или) нормативными правовыми актами таких фондов, локальными нормативными актами таких корпораций (компаний), публично-правовых компаний, организаций;</w:t>
      </w:r>
    </w:p>
    <w:p w14:paraId="2A827E17">
      <w:pPr>
        <w:pStyle w:val="204"/>
        <w:numPr>
          <w:ilvl w:val="0"/>
          <w:numId w:val="2"/>
        </w:numPr>
        <w:tabs>
          <w:tab w:val="left" w:pos="567"/>
          <w:tab w:val="left" w:pos="993"/>
        </w:tabs>
        <w:ind w:left="0" w:firstLine="567"/>
        <w:jc w:val="both"/>
      </w:pPr>
      <w:r>
        <w:t xml:space="preserve">лицами, замещающими должности членов Совета директоров Центрального банка Российской Федерации, иные должности в Центральном банке Российской Федерации, включенные в </w:t>
      </w:r>
      <w:r>
        <w:fldChar w:fldCharType="begin"/>
      </w:r>
      <w:r>
        <w:instrText xml:space="preserve"> HYPERLINK "consultantplus://offline/ref=176F7DE9F43BBC5D4BD135AAE1CAD04D0FAF9650A130B33DA87DA13E97FAF95DCF18F97FDC1FE2FAH7g2M" \o "consultantplus://offline/ref=176F7DE9F43BBC5D4BD135AAE1CAD04D0FAF9650A130B33DA87DA13E97FAF95DCF18F97FDC1FE2FAH7g2M" </w:instrText>
      </w:r>
      <w:r>
        <w:fldChar w:fldCharType="separate"/>
      </w:r>
      <w:r>
        <w:t>перечень</w:t>
      </w:r>
      <w:r>
        <w:fldChar w:fldCharType="end"/>
      </w:r>
      <w:r>
        <w:t>, утвержденный Советом директоров Центрального банка Российской Федерации;</w:t>
      </w:r>
    </w:p>
    <w:p w14:paraId="6B2C0202">
      <w:pPr>
        <w:pStyle w:val="193"/>
        <w:numPr>
          <w:ilvl w:val="0"/>
          <w:numId w:val="2"/>
        </w:numPr>
        <w:tabs>
          <w:tab w:val="left" w:pos="567"/>
          <w:tab w:val="left" w:pos="993"/>
        </w:tabs>
        <w:ind w:left="0" w:firstLine="567"/>
        <w:rPr>
          <w:rFonts w:ascii="Times New Roman" w:hAnsi="Times New Roman"/>
          <w:sz w:val="28"/>
          <w:szCs w:val="28"/>
        </w:rPr>
      </w:pPr>
      <w:r>
        <w:rPr>
          <w:rFonts w:ascii="Times New Roman" w:hAnsi="Times New Roman"/>
          <w:sz w:val="28"/>
          <w:szCs w:val="28"/>
        </w:rPr>
        <w:t xml:space="preserve">работниками организаций, создаваемых для выполнения задач, поставленных перед федеральными государственными органами, замещающими отдельные должности на основании трудового договора в данных организациях, включенные в </w:t>
      </w:r>
      <w:r>
        <w:fldChar w:fldCharType="begin"/>
      </w:r>
      <w:r>
        <w:instrText xml:space="preserve"> HYPERLINK "consultantplus://offline/ref=7F2EEDDD06F168B694690D2DE649735BC9E53CBFC16FEC31087E4E96CAJ2nFL" \o "consultantplus://offline/ref=7F2EEDDD06F168B694690D2DE649735BC9E53CBFC16FEC31087E4E96CAJ2nFL" </w:instrText>
      </w:r>
      <w:r>
        <w:fldChar w:fldCharType="separate"/>
      </w:r>
      <w:r>
        <w:rPr>
          <w:rFonts w:ascii="Times New Roman" w:hAnsi="Times New Roman"/>
          <w:sz w:val="28"/>
          <w:szCs w:val="28"/>
        </w:rPr>
        <w:t>перечни</w:t>
      </w:r>
      <w:r>
        <w:rPr>
          <w:rFonts w:ascii="Times New Roman" w:hAnsi="Times New Roman"/>
          <w:sz w:val="28"/>
          <w:szCs w:val="28"/>
        </w:rPr>
        <w:fldChar w:fldCharType="end"/>
      </w:r>
      <w:r>
        <w:rPr>
          <w:rFonts w:ascii="Times New Roman" w:hAnsi="Times New Roman"/>
          <w:sz w:val="28"/>
          <w:szCs w:val="28"/>
        </w:rPr>
        <w:t>, утвержденные федеральными государственными органами;</w:t>
      </w:r>
    </w:p>
    <w:p w14:paraId="1255F5C6">
      <w:pPr>
        <w:pStyle w:val="193"/>
        <w:numPr>
          <w:ilvl w:val="0"/>
          <w:numId w:val="2"/>
        </w:numPr>
        <w:tabs>
          <w:tab w:val="left" w:pos="567"/>
          <w:tab w:val="left" w:pos="993"/>
        </w:tabs>
        <w:ind w:left="0" w:firstLine="567"/>
        <w:rPr>
          <w:rFonts w:ascii="Times New Roman" w:hAnsi="Times New Roman"/>
          <w:sz w:val="28"/>
          <w:szCs w:val="28"/>
        </w:rPr>
      </w:pPr>
      <w:r>
        <w:rPr>
          <w:rFonts w:ascii="Times New Roman" w:hAnsi="Times New Roman"/>
          <w:sz w:val="28"/>
          <w:szCs w:val="28"/>
        </w:rPr>
        <w:t>атаманом Всероссийского казачьего общества и атаманами войсковых казачьих обществ, внесенных в государственный реестр казачьих обществ в Российской Федерации (далее – атаман войскового казачьего общества);</w:t>
      </w:r>
    </w:p>
    <w:p w14:paraId="06C267E7">
      <w:pPr>
        <w:pStyle w:val="193"/>
        <w:numPr>
          <w:ilvl w:val="0"/>
          <w:numId w:val="2"/>
        </w:numPr>
        <w:tabs>
          <w:tab w:val="left" w:pos="567"/>
          <w:tab w:val="left" w:pos="993"/>
        </w:tabs>
        <w:ind w:left="0" w:firstLine="567"/>
        <w:rPr>
          <w:rFonts w:ascii="Times New Roman" w:hAnsi="Times New Roman"/>
          <w:sz w:val="28"/>
          <w:szCs w:val="28"/>
        </w:rPr>
      </w:pPr>
      <w:r>
        <w:rPr>
          <w:rFonts w:ascii="Times New Roman" w:hAnsi="Times New Roman"/>
          <w:sz w:val="28"/>
          <w:szCs w:val="28"/>
        </w:rPr>
        <w:t>главным финансовым уполномоченным и финансовыми уполномоченными в сферах финансовых услуг, руководителем службы обеспечения деятельности финансового уполномоченного;</w:t>
      </w:r>
    </w:p>
    <w:p w14:paraId="6B18BA85">
      <w:pPr>
        <w:pStyle w:val="193"/>
        <w:numPr>
          <w:ilvl w:val="0"/>
          <w:numId w:val="2"/>
        </w:numPr>
        <w:tabs>
          <w:tab w:val="left" w:pos="567"/>
          <w:tab w:val="left" w:pos="993"/>
        </w:tabs>
        <w:ind w:left="0" w:firstLine="567"/>
        <w:rPr>
          <w:rFonts w:ascii="Times New Roman" w:hAnsi="Times New Roman"/>
          <w:sz w:val="28"/>
          <w:szCs w:val="28"/>
        </w:rPr>
      </w:pPr>
      <w:r>
        <w:rPr>
          <w:rFonts w:ascii="Times New Roman" w:hAnsi="Times New Roman"/>
          <w:sz w:val="28"/>
          <w:szCs w:val="28"/>
        </w:rPr>
        <w:t>иными лицами в соответствии с законодательством Российской Федерации.</w:t>
      </w:r>
    </w:p>
    <w:p w14:paraId="2EB86399">
      <w:pPr>
        <w:pStyle w:val="193"/>
        <w:numPr>
          <w:ilvl w:val="0"/>
          <w:numId w:val="1"/>
        </w:numPr>
        <w:tabs>
          <w:tab w:val="left" w:pos="567"/>
          <w:tab w:val="left" w:pos="851"/>
          <w:tab w:val="left" w:pos="1134"/>
        </w:tabs>
        <w:ind w:left="0" w:firstLine="567"/>
        <w:rPr>
          <w:rFonts w:ascii="Times New Roman" w:hAnsi="Times New Roman"/>
          <w:sz w:val="28"/>
          <w:szCs w:val="28"/>
        </w:rPr>
      </w:pPr>
      <w:bookmarkStart w:id="3" w:name="Лица"/>
      <w:bookmarkStart w:id="4" w:name="Особенности"/>
      <w:r>
        <w:rPr>
          <w:rFonts w:ascii="Times New Roman" w:hAnsi="Times New Roman"/>
          <w:sz w:val="28"/>
          <w:szCs w:val="28"/>
        </w:rPr>
        <w:t>Сведения о доходах, об имуществе и обязательствах имущественного характера представляются гражданином, претендующим на замещение (далее – гражданин):</w:t>
      </w:r>
    </w:p>
    <w:p w14:paraId="72D1B1FB">
      <w:pPr>
        <w:pStyle w:val="193"/>
        <w:numPr>
          <w:ilvl w:val="0"/>
          <w:numId w:val="3"/>
        </w:numPr>
        <w:tabs>
          <w:tab w:val="left" w:pos="0"/>
          <w:tab w:val="left" w:pos="567"/>
          <w:tab w:val="left" w:pos="993"/>
        </w:tabs>
        <w:ind w:left="0" w:firstLine="567"/>
        <w:rPr>
          <w:rFonts w:ascii="Times New Roman" w:hAnsi="Times New Roman"/>
          <w:sz w:val="28"/>
          <w:szCs w:val="28"/>
        </w:rPr>
      </w:pPr>
      <w:r>
        <w:rPr>
          <w:rFonts w:ascii="Times New Roman" w:hAnsi="Times New Roman"/>
          <w:sz w:val="28"/>
          <w:szCs w:val="28"/>
        </w:rPr>
        <w:t>государственной должности Российской Федерации, государственной должности субъекта Российской Федерации, муниципальной должности;</w:t>
      </w:r>
    </w:p>
    <w:p w14:paraId="71A5DC5F">
      <w:pPr>
        <w:pStyle w:val="193"/>
        <w:numPr>
          <w:ilvl w:val="0"/>
          <w:numId w:val="3"/>
        </w:numPr>
        <w:tabs>
          <w:tab w:val="left" w:pos="567"/>
          <w:tab w:val="left" w:pos="993"/>
        </w:tabs>
        <w:ind w:left="0" w:firstLine="567"/>
        <w:rPr>
          <w:rFonts w:ascii="Times New Roman" w:hAnsi="Times New Roman"/>
          <w:sz w:val="28"/>
          <w:szCs w:val="28"/>
        </w:rPr>
      </w:pPr>
      <w:r>
        <w:rPr>
          <w:rFonts w:ascii="Times New Roman" w:hAnsi="Times New Roman"/>
          <w:sz w:val="28"/>
          <w:szCs w:val="28"/>
        </w:rPr>
        <w:t>любой должности государственной службы Российской Федерации;</w:t>
      </w:r>
    </w:p>
    <w:p w14:paraId="030421D3">
      <w:pPr>
        <w:pStyle w:val="193"/>
        <w:numPr>
          <w:ilvl w:val="0"/>
          <w:numId w:val="3"/>
        </w:numPr>
        <w:tabs>
          <w:tab w:val="left" w:pos="567"/>
          <w:tab w:val="left" w:pos="993"/>
        </w:tabs>
        <w:ind w:left="0" w:firstLine="567"/>
        <w:rPr>
          <w:rFonts w:ascii="Times New Roman" w:hAnsi="Times New Roman"/>
          <w:sz w:val="28"/>
          <w:szCs w:val="28"/>
        </w:rPr>
      </w:pPr>
      <w:r>
        <w:rPr>
          <w:rFonts w:ascii="Times New Roman" w:hAnsi="Times New Roman"/>
          <w:sz w:val="28"/>
          <w:szCs w:val="28"/>
        </w:rPr>
        <w:t>должности муниципальной службы, включенной в перечни, утвержденные нормативными правовыми актами Российской Федерации, должность главы местной администрации по контракту;</w:t>
      </w:r>
    </w:p>
    <w:p w14:paraId="50925220">
      <w:pPr>
        <w:pStyle w:val="193"/>
        <w:numPr>
          <w:ilvl w:val="0"/>
          <w:numId w:val="3"/>
        </w:numPr>
        <w:tabs>
          <w:tab w:val="left" w:pos="567"/>
          <w:tab w:val="left" w:pos="993"/>
        </w:tabs>
        <w:ind w:left="0" w:firstLine="567"/>
        <w:rPr>
          <w:rFonts w:ascii="Times New Roman" w:hAnsi="Times New Roman"/>
          <w:sz w:val="28"/>
          <w:szCs w:val="28"/>
        </w:rPr>
      </w:pPr>
      <w:r>
        <w:rPr>
          <w:rFonts w:ascii="Times New Roman" w:hAnsi="Times New Roman"/>
          <w:sz w:val="28"/>
          <w:szCs w:val="28"/>
        </w:rPr>
        <w:t>должности в государственных внебюджетных фондах Российской Федерации, государственных корпорациях (компаниях), публично-правовых компаниях, иных организациях, созданных Российской Федерацией на основании федеральных законов, назначение на которую и освобождение от которой осуществляется Президентом Российской Федерации или Правительством Российской Федерации, либо должности, включенной в перечни, утвержденные нормативными правовыми актами Российской Федерации, и (или) нормативными правовыми актами таких фондов, локальными нормативными актами таких корпораций (компаний), публично-правовых компаний, организаций;</w:t>
      </w:r>
    </w:p>
    <w:p w14:paraId="1865717E">
      <w:pPr>
        <w:pStyle w:val="193"/>
        <w:numPr>
          <w:ilvl w:val="0"/>
          <w:numId w:val="3"/>
        </w:numPr>
        <w:tabs>
          <w:tab w:val="left" w:pos="567"/>
          <w:tab w:val="left" w:pos="993"/>
        </w:tabs>
        <w:ind w:left="0" w:firstLine="567"/>
        <w:rPr>
          <w:rFonts w:ascii="Times New Roman" w:hAnsi="Times New Roman"/>
          <w:sz w:val="28"/>
          <w:szCs w:val="28"/>
        </w:rPr>
      </w:pPr>
      <w:r>
        <w:rPr>
          <w:rFonts w:ascii="Times New Roman" w:hAnsi="Times New Roman"/>
          <w:sz w:val="28"/>
          <w:szCs w:val="28"/>
        </w:rPr>
        <w:t xml:space="preserve">должности члена Совета директоров Центрального банка Российской Федерации, должности в Центральном банке Российской Федерации, включенные в </w:t>
      </w:r>
      <w:r>
        <w:fldChar w:fldCharType="begin"/>
      </w:r>
      <w:r>
        <w:instrText xml:space="preserve"> HYPERLINK "consultantplus://offline/ref=3743F552A0D416E80BEAF690826125BB530BB097B6A5A5C17137C1E72FF3E91DCF3284BA9D2A6279g3rBM" \o "consultantplus://offline/ref=3743F552A0D416E80BEAF690826125BB530BB097B6A5A5C17137C1E72FF3E91DCF3284BA9D2A6279g3rBM" </w:instrText>
      </w:r>
      <w:r>
        <w:fldChar w:fldCharType="separate"/>
      </w:r>
      <w:r>
        <w:rPr>
          <w:rFonts w:ascii="Times New Roman" w:hAnsi="Times New Roman"/>
          <w:sz w:val="28"/>
          <w:szCs w:val="28"/>
        </w:rPr>
        <w:t>перечень</w:t>
      </w:r>
      <w:r>
        <w:rPr>
          <w:rFonts w:ascii="Times New Roman" w:hAnsi="Times New Roman"/>
          <w:sz w:val="28"/>
          <w:szCs w:val="28"/>
        </w:rPr>
        <w:fldChar w:fldCharType="end"/>
      </w:r>
      <w:r>
        <w:rPr>
          <w:rFonts w:ascii="Times New Roman" w:hAnsi="Times New Roman"/>
          <w:sz w:val="28"/>
          <w:szCs w:val="28"/>
        </w:rPr>
        <w:t>, утвержденный Советом директоров Центрального банка Российской Федерации;</w:t>
      </w:r>
    </w:p>
    <w:p w14:paraId="06BFAD6B">
      <w:pPr>
        <w:pStyle w:val="193"/>
        <w:numPr>
          <w:ilvl w:val="0"/>
          <w:numId w:val="3"/>
        </w:numPr>
        <w:tabs>
          <w:tab w:val="left" w:pos="567"/>
          <w:tab w:val="left" w:pos="993"/>
        </w:tabs>
        <w:ind w:left="0" w:firstLine="567"/>
        <w:rPr>
          <w:rFonts w:ascii="Times New Roman" w:hAnsi="Times New Roman"/>
          <w:sz w:val="28"/>
          <w:szCs w:val="28"/>
        </w:rPr>
      </w:pPr>
      <w:r>
        <w:rPr>
          <w:rFonts w:ascii="Times New Roman" w:hAnsi="Times New Roman"/>
          <w:sz w:val="28"/>
          <w:szCs w:val="28"/>
        </w:rPr>
        <w:t xml:space="preserve">отдельной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включенной в </w:t>
      </w:r>
      <w:r>
        <w:fldChar w:fldCharType="begin"/>
      </w:r>
      <w:r>
        <w:instrText xml:space="preserve"> HYPERLINK "consultantplus://offline/ref=7F2EEDDD06F168B694690D2DE649735BC9E53CBFC16FEC31087E4E96CAJ2nFL" \o "consultantplus://offline/ref=7F2EEDDD06F168B694690D2DE649735BC9E53CBFC16FEC31087E4E96CAJ2nFL" </w:instrText>
      </w:r>
      <w:r>
        <w:fldChar w:fldCharType="separate"/>
      </w:r>
      <w:r>
        <w:rPr>
          <w:rFonts w:ascii="Times New Roman" w:hAnsi="Times New Roman"/>
          <w:sz w:val="28"/>
          <w:szCs w:val="28"/>
        </w:rPr>
        <w:t>перечни</w:t>
      </w:r>
      <w:r>
        <w:rPr>
          <w:rFonts w:ascii="Times New Roman" w:hAnsi="Times New Roman"/>
          <w:sz w:val="28"/>
          <w:szCs w:val="28"/>
        </w:rPr>
        <w:fldChar w:fldCharType="end"/>
      </w:r>
      <w:r>
        <w:rPr>
          <w:rFonts w:ascii="Times New Roman" w:hAnsi="Times New Roman"/>
          <w:sz w:val="28"/>
          <w:szCs w:val="28"/>
        </w:rPr>
        <w:t>, утвержденные федеральными государственными органами;</w:t>
      </w:r>
    </w:p>
    <w:p w14:paraId="026C8FA8">
      <w:pPr>
        <w:pStyle w:val="193"/>
        <w:numPr>
          <w:ilvl w:val="0"/>
          <w:numId w:val="3"/>
        </w:numPr>
        <w:tabs>
          <w:tab w:val="left" w:pos="567"/>
          <w:tab w:val="left" w:pos="993"/>
        </w:tabs>
        <w:ind w:left="0" w:firstLine="567"/>
        <w:rPr>
          <w:rFonts w:ascii="Times New Roman" w:hAnsi="Times New Roman"/>
          <w:sz w:val="28"/>
          <w:szCs w:val="28"/>
        </w:rPr>
      </w:pPr>
      <w:r>
        <w:rPr>
          <w:rFonts w:ascii="Times New Roman" w:hAnsi="Times New Roman"/>
          <w:sz w:val="28"/>
          <w:szCs w:val="28"/>
        </w:rPr>
        <w:t>должности атамана Всероссийского казачьего общества;</w:t>
      </w:r>
    </w:p>
    <w:p w14:paraId="19CFD2D6">
      <w:pPr>
        <w:pStyle w:val="193"/>
        <w:numPr>
          <w:ilvl w:val="0"/>
          <w:numId w:val="3"/>
        </w:numPr>
        <w:tabs>
          <w:tab w:val="left" w:pos="567"/>
          <w:tab w:val="left" w:pos="993"/>
        </w:tabs>
        <w:ind w:left="0" w:firstLine="567"/>
        <w:rPr>
          <w:rFonts w:ascii="Times New Roman" w:hAnsi="Times New Roman"/>
          <w:sz w:val="28"/>
          <w:szCs w:val="28"/>
        </w:rPr>
      </w:pPr>
      <w:r>
        <w:rPr>
          <w:rFonts w:ascii="Times New Roman" w:hAnsi="Times New Roman"/>
          <w:sz w:val="28"/>
          <w:szCs w:val="28"/>
        </w:rPr>
        <w:t>должности главного финансового уполномоченного, финансового уполномоченного в сферах финансовых услуг, руководителя службы обеспечения деятельности финансового уполномоченного;</w:t>
      </w:r>
    </w:p>
    <w:p w14:paraId="54D81510">
      <w:pPr>
        <w:pStyle w:val="193"/>
        <w:numPr>
          <w:ilvl w:val="0"/>
          <w:numId w:val="3"/>
        </w:numPr>
        <w:tabs>
          <w:tab w:val="left" w:pos="567"/>
          <w:tab w:val="left" w:pos="993"/>
        </w:tabs>
        <w:ind w:left="0" w:firstLine="567"/>
        <w:rPr>
          <w:rFonts w:ascii="Times New Roman" w:hAnsi="Times New Roman"/>
          <w:sz w:val="28"/>
          <w:szCs w:val="28"/>
        </w:rPr>
      </w:pPr>
      <w:r>
        <w:rPr>
          <w:rFonts w:ascii="Times New Roman" w:hAnsi="Times New Roman"/>
          <w:sz w:val="28"/>
          <w:szCs w:val="28"/>
        </w:rPr>
        <w:t>иных должностей в соответствии с законодательством Российской Федерации.</w:t>
      </w:r>
    </w:p>
    <w:bookmarkEnd w:id="3"/>
    <w:bookmarkEnd w:id="4"/>
    <w:p w14:paraId="5751C9AD">
      <w:pPr>
        <w:pStyle w:val="193"/>
        <w:numPr>
          <w:ilvl w:val="0"/>
          <w:numId w:val="1"/>
        </w:numPr>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Государственный служащий</w:t>
      </w:r>
      <w:r>
        <w:rPr>
          <w:rFonts w:ascii="Times New Roman" w:hAnsi="Times New Roman"/>
          <w:sz w:val="28"/>
        </w:rPr>
        <w:t xml:space="preserve"> Российской Федерации (далее – государственный служащий)</w:t>
      </w:r>
      <w:r>
        <w:rPr>
          <w:rFonts w:ascii="Times New Roman" w:hAnsi="Times New Roman"/>
          <w:sz w:val="28"/>
          <w:szCs w:val="28"/>
        </w:rPr>
        <w:t xml:space="preserve"> и гражданин, претендующие на включение в федеральный кадровый резерв на государственной гражданской службе</w:t>
      </w:r>
      <w:r>
        <w:rPr>
          <w:rFonts w:ascii="Times New Roman" w:hAnsi="Times New Roman"/>
          <w:sz w:val="28"/>
        </w:rPr>
        <w:t xml:space="preserve"> Российской Федерации (далее – федеральный кадровый резерв)</w:t>
      </w:r>
      <w:r>
        <w:rPr>
          <w:rFonts w:ascii="Times New Roman" w:hAnsi="Times New Roman"/>
          <w:sz w:val="28"/>
          <w:szCs w:val="28"/>
        </w:rPr>
        <w:t>, представляют сведения о доходах, об имуществе и обязательствах имущественного характера при рассмотрении вопроса о включении в названный резерв согласно Указу Президента Российской Федерации от 22 января 2024 г. № 61 "О федеральном кадровом резерве на государственной гражданской службе Российской Федерации" (далее – Указ Президента Российской Федерации №</w:t>
      </w:r>
      <w:r>
        <w:rPr>
          <w:rFonts w:ascii="Times New Roman" w:hAnsi="Times New Roman"/>
          <w:sz w:val="28"/>
          <w:szCs w:val="28"/>
          <w:lang w:val="en-US"/>
        </w:rPr>
        <w:t> </w:t>
      </w:r>
      <w:r>
        <w:rPr>
          <w:rFonts w:ascii="Times New Roman" w:hAnsi="Times New Roman"/>
          <w:sz w:val="28"/>
          <w:szCs w:val="28"/>
        </w:rPr>
        <w:t>61).</w:t>
      </w:r>
    </w:p>
    <w:p w14:paraId="4CC87553">
      <w:pPr>
        <w:pStyle w:val="193"/>
        <w:tabs>
          <w:tab w:val="left" w:pos="567"/>
          <w:tab w:val="left" w:pos="993"/>
          <w:tab w:val="left" w:pos="1134"/>
        </w:tabs>
        <w:ind w:left="0" w:firstLine="567"/>
        <w:rPr>
          <w:rFonts w:ascii="Times New Roman" w:hAnsi="Times New Roman"/>
          <w:color w:val="000000"/>
          <w:sz w:val="28"/>
          <w:szCs w:val="28"/>
        </w:rPr>
      </w:pPr>
      <w:r>
        <w:rPr>
          <w:rFonts w:ascii="Times New Roman" w:hAnsi="Times New Roman"/>
          <w:color w:val="000000"/>
          <w:sz w:val="28"/>
          <w:szCs w:val="28"/>
        </w:rPr>
        <w:t>При заполнении с использованием СПО "Справки БК" версии 2.5.5 или версии 3.0.4 титульного листа справки:</w:t>
      </w:r>
    </w:p>
    <w:p w14:paraId="67686D63">
      <w:pPr>
        <w:pStyle w:val="38"/>
        <w:tabs>
          <w:tab w:val="left" w:pos="567"/>
          <w:tab w:val="left" w:pos="993"/>
        </w:tabs>
        <w:spacing w:before="0" w:after="0" w:line="180" w:lineRule="atLeast"/>
        <w:ind w:firstLine="567"/>
        <w:rPr>
          <w:sz w:val="28"/>
          <w:szCs w:val="28"/>
        </w:rPr>
      </w:pPr>
      <w:r>
        <w:rPr>
          <w:color w:val="000000"/>
          <w:sz w:val="28"/>
          <w:szCs w:val="28"/>
        </w:rPr>
        <w:t>в строке "Куда подается справка" возможно указать Управление Президента Российской Федерации по вопросам государственной службы, кадров и противодействия коррупции либо кадровую службу или иное уполномоченное подразделение государственного органа, обеспечивающее деятельность лица, обладающего полномочиями по выдвижению кандидатов для включения в федеральный кадровый резерв</w:t>
      </w:r>
      <w:r>
        <w:rPr>
          <w:sz w:val="28"/>
          <w:szCs w:val="28"/>
        </w:rPr>
        <w:t>;</w:t>
      </w:r>
    </w:p>
    <w:p w14:paraId="69A9D75A">
      <w:pPr>
        <w:pStyle w:val="193"/>
        <w:tabs>
          <w:tab w:val="left" w:pos="567"/>
          <w:tab w:val="left" w:pos="993"/>
          <w:tab w:val="left" w:pos="1134"/>
        </w:tabs>
        <w:ind w:left="0" w:firstLine="567"/>
        <w:rPr>
          <w:rFonts w:ascii="Times New Roman" w:hAnsi="Times New Roman"/>
          <w:color w:val="000000"/>
          <w:sz w:val="28"/>
          <w:szCs w:val="28"/>
        </w:rPr>
      </w:pPr>
      <w:r>
        <w:rPr>
          <w:rFonts w:ascii="Times New Roman" w:hAnsi="Times New Roman"/>
          <w:color w:val="000000"/>
          <w:sz w:val="28"/>
          <w:szCs w:val="28"/>
        </w:rPr>
        <w:t>в строке "В связи с чем подается справка" рекомендуется выбрать "иное" и указать, что лицо претендует на включение в федеральный кадровый резерв.</w:t>
      </w:r>
    </w:p>
    <w:p w14:paraId="188F9A36">
      <w:pPr>
        <w:tabs>
          <w:tab w:val="left" w:pos="567"/>
          <w:tab w:val="left" w:pos="993"/>
          <w:tab w:val="left" w:pos="1843"/>
        </w:tabs>
        <w:ind w:firstLine="567"/>
        <w:rPr>
          <w:rFonts w:ascii="Times New Roman" w:hAnsi="Times New Roman"/>
          <w:sz w:val="28"/>
          <w:szCs w:val="28"/>
        </w:rPr>
      </w:pPr>
      <w:r>
        <w:rPr>
          <w:rFonts w:ascii="Times New Roman" w:hAnsi="Times New Roman"/>
          <w:sz w:val="28"/>
        </w:rPr>
        <w:t xml:space="preserve">При выборе отчетного периода необходимо исходить из того, что </w:t>
      </w:r>
      <w:r>
        <w:rPr>
          <w:rFonts w:ascii="Times New Roman" w:hAnsi="Times New Roman"/>
          <w:sz w:val="28"/>
          <w:szCs w:val="28"/>
        </w:rPr>
        <w:t>сведения о доходах представляются за календарный год, предшествующий году представления документов для включения в федеральный кадровый резерв, а сведения об имуществе и обязательствах имущественного характера – по состоянию на первое число месяца, предшествующего месяцу представления таких документов (</w:t>
      </w:r>
      <w:r>
        <w:rPr>
          <w:rFonts w:ascii="Times New Roman" w:hAnsi="Times New Roman"/>
          <w:sz w:val="28"/>
        </w:rPr>
        <w:t xml:space="preserve">пункт 4 Положения </w:t>
      </w:r>
      <w:r>
        <w:rPr>
          <w:rFonts w:ascii="Times New Roman" w:hAnsi="Times New Roman"/>
          <w:sz w:val="28"/>
          <w:szCs w:val="28"/>
        </w:rPr>
        <w:t>о порядке представления государственными гражданскими служащими Российской Федерации, гражданами Российской Федерации, претендующими на включение в федеральный кадровый резерв на государственной гражданской службе Российской Федерации, сведений о доходах, об имуществе и обязательствах имущественного характера и о порядке осуществления проверки достоверности и полноты представленных сведений, утвержденного Указом Президента Российский Федерации № 61).</w:t>
      </w:r>
    </w:p>
    <w:p w14:paraId="6B8A05CB">
      <w:pPr>
        <w:pStyle w:val="193"/>
        <w:numPr>
          <w:ilvl w:val="0"/>
          <w:numId w:val="1"/>
        </w:numPr>
        <w:tabs>
          <w:tab w:val="left" w:pos="567"/>
          <w:tab w:val="left" w:pos="993"/>
          <w:tab w:val="left" w:pos="1134"/>
        </w:tabs>
        <w:ind w:left="0" w:firstLine="567"/>
        <w:rPr>
          <w:rFonts w:ascii="Times New Roman" w:hAnsi="Times New Roman"/>
          <w:sz w:val="28"/>
          <w:szCs w:val="28"/>
        </w:rPr>
      </w:pPr>
      <w:bookmarkStart w:id="5" w:name="пункт4"/>
      <w:bookmarkStart w:id="6" w:name="Сведений"/>
      <w:r>
        <w:rPr>
          <w:rFonts w:ascii="Times New Roman" w:hAnsi="Times New Roman"/>
          <w:sz w:val="28"/>
          <w:szCs w:val="28"/>
        </w:rPr>
        <w:t>Сведения</w:t>
      </w:r>
      <w:bookmarkEnd w:id="5"/>
      <w:r>
        <w:rPr>
          <w:rFonts w:ascii="Times New Roman" w:hAnsi="Times New Roman"/>
          <w:sz w:val="28"/>
          <w:szCs w:val="28"/>
        </w:rPr>
        <w:t xml:space="preserve"> о доходах, об имуществе и обязательствах имущественного характера представляются государственным служащим, претендующим на замещение любой должности государственной службы в данном государственном органе, включенной в перечень должностей, установленный нормативными правовыми актами Российской Федерации (см., например, Указ Президента Российской Федерации от 18 мая 2009 г. № 557 "Об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Аналогично в отношении муниципальных служащих. Необходимо учитывать особенность заполнения справки данной категорией лиц, предусмотренной </w:t>
      </w:r>
      <w:r>
        <w:fldChar w:fldCharType="begin"/>
      </w:r>
      <w:r>
        <w:instrText xml:space="preserve"> HYPERLINK \l "Кандраз22" </w:instrText>
      </w:r>
      <w:r>
        <w:fldChar w:fldCharType="separate"/>
      </w:r>
      <w:r>
        <w:rPr>
          <w:rStyle w:val="17"/>
          <w:rFonts w:ascii="Times New Roman" w:hAnsi="Times New Roman"/>
          <w:sz w:val="28"/>
          <w:szCs w:val="28"/>
        </w:rPr>
        <w:t>пунктом 92 настоящих Методических рекомендаций</w:t>
      </w:r>
      <w:r>
        <w:rPr>
          <w:rStyle w:val="17"/>
          <w:rFonts w:ascii="Times New Roman" w:hAnsi="Times New Roman"/>
          <w:sz w:val="28"/>
          <w:szCs w:val="28"/>
        </w:rPr>
        <w:fldChar w:fldCharType="end"/>
      </w:r>
      <w:r>
        <w:rPr>
          <w:rFonts w:ascii="Times New Roman" w:hAnsi="Times New Roman"/>
          <w:sz w:val="28"/>
          <w:szCs w:val="28"/>
        </w:rPr>
        <w:t>.</w:t>
      </w:r>
    </w:p>
    <w:p w14:paraId="290D2712">
      <w:pPr>
        <w:pStyle w:val="193"/>
        <w:numPr>
          <w:ilvl w:val="0"/>
          <w:numId w:val="1"/>
        </w:numPr>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Сведения о доходах, об имуществе и обязательствах имущественного характера представляются государственным служащим, назначаемым на должность в порядке перевода из другого государственного органа.</w:t>
      </w:r>
    </w:p>
    <w:bookmarkEnd w:id="6"/>
    <w:p w14:paraId="32665F8C">
      <w:pPr>
        <w:pStyle w:val="3"/>
        <w:tabs>
          <w:tab w:val="left" w:pos="567"/>
          <w:tab w:val="left" w:pos="993"/>
        </w:tabs>
      </w:pPr>
      <w:bookmarkStart w:id="7" w:name="_Toc225936055"/>
      <w:r>
        <w:t>Обязательность представления Сведений</w:t>
      </w:r>
      <w:bookmarkEnd w:id="7"/>
      <w:r>
        <w:t xml:space="preserve"> </w:t>
      </w:r>
    </w:p>
    <w:p w14:paraId="0663939D">
      <w:pPr>
        <w:pStyle w:val="193"/>
        <w:numPr>
          <w:ilvl w:val="0"/>
          <w:numId w:val="1"/>
        </w:numPr>
        <w:tabs>
          <w:tab w:val="left" w:pos="567"/>
          <w:tab w:val="left" w:pos="993"/>
          <w:tab w:val="left" w:pos="1134"/>
        </w:tabs>
        <w:ind w:left="0" w:firstLine="567"/>
        <w:rPr>
          <w:rFonts w:ascii="Times New Roman" w:hAnsi="Times New Roman"/>
          <w:sz w:val="28"/>
        </w:rPr>
      </w:pPr>
      <w:r>
        <w:rPr>
          <w:rFonts w:ascii="Times New Roman" w:hAnsi="Times New Roman"/>
          <w:sz w:val="28"/>
        </w:rPr>
        <w:t>Лица, претендующие на замещение и (или) замещающие муниципальные должности, должности государственной гражданской службы субъектов Российской Федерации, муниципальной службы на территориях Донецкой Народной Республики, Луганской Народной Республики, Запорожской области, Херсонской области, исходя из положений федеральных конституционных законов от 4 октября 2022 г. № 5-ФКЗ "О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 от 4 октября 2022 г. № 6-ФКЗ "О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 от 4</w:t>
      </w:r>
      <w:r>
        <w:rPr>
          <w:rFonts w:ascii="Times New Roman" w:hAnsi="Times New Roman"/>
          <w:sz w:val="28"/>
          <w:lang w:val="en-US"/>
        </w:rPr>
        <w:t> </w:t>
      </w:r>
      <w:r>
        <w:rPr>
          <w:rFonts w:ascii="Times New Roman" w:hAnsi="Times New Roman"/>
          <w:sz w:val="28"/>
        </w:rPr>
        <w:t>октября 2022 г. № 7-ФКЗ "О принятии в Российскую Федерацию Запорожской области и образовании в составе Российской Федерации нового субъекта - Запорожской области", от 4 октября 2022 г. № 8-ФКЗ "О принятии в Российскую Федерацию Херсонской области и образовании в составе Российской Федерации нового субъекта - Херсонской области" и Указа Президента Российской Федерации от 6 декабря 2022 г. № 886 "Об особенностях замещения государственных и муниципальных должностей, должностей государственной и муниципальной службы на территориях Донецкой Народной Республики, Луганской Народной Республики, Запорожской области и Херсонской области" не представляют Сведения в рамках декларационной кампании 2026 года.</w:t>
      </w:r>
    </w:p>
    <w:p w14:paraId="2862E2FA">
      <w:pPr>
        <w:pStyle w:val="193"/>
        <w:numPr>
          <w:ilvl w:val="0"/>
          <w:numId w:val="1"/>
        </w:numPr>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В период проведения специальной военной операции и до издания соответствующих нормативных правовых актов Российской Федерации военнослужащие, сотрудники органов внутренних дел Российской Федерации, лица, проходящие службу в войсках национальной гвардии Российской Федерации и имеющие специальные звания полиции, сотрудники уголовно-исполнительной системы Российской Федерации и Следственного комитета Российской Федерации (далее – военнослужащие, сотрудники и лица), претендующие на замещение должностей федеральной государственной службы, предусмотренных соответствующим перечнем должностей, не представляют Сведения в случае если:</w:t>
      </w:r>
    </w:p>
    <w:p w14:paraId="74AA5AA9">
      <w:pPr>
        <w:pStyle w:val="193"/>
        <w:numPr>
          <w:ilvl w:val="1"/>
          <w:numId w:val="1"/>
        </w:numPr>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такие военнослужащие, сотрудники и лица принимают (принимали) участие в специальной военной операции или непосредственно выполняют (выполняли)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w:t>
      </w:r>
    </w:p>
    <w:p w14:paraId="4664F2AD">
      <w:pPr>
        <w:pStyle w:val="193"/>
        <w:numPr>
          <w:ilvl w:val="1"/>
          <w:numId w:val="1"/>
        </w:numPr>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планируется участие таких военнослужащих, сотрудников и лиц в специальной военной операции или непосредственное выполнение ими задач, связанных с ее проведением, на территориях Донецкой</w:t>
      </w:r>
      <w:r>
        <w:t xml:space="preserve"> </w:t>
      </w:r>
      <w:r>
        <w:rPr>
          <w:rFonts w:ascii="Times New Roman" w:hAnsi="Times New Roman"/>
          <w:sz w:val="28"/>
          <w:szCs w:val="28"/>
        </w:rPr>
        <w:t>Народной Республики, Луганской Народной Республики, Запорожской области, Херсонской области и Украины.</w:t>
      </w:r>
    </w:p>
    <w:p w14:paraId="0DB4F244">
      <w:pPr>
        <w:tabs>
          <w:tab w:val="left" w:pos="567"/>
          <w:tab w:val="left" w:pos="993"/>
          <w:tab w:val="left" w:pos="1134"/>
        </w:tabs>
        <w:ind w:firstLine="567"/>
        <w:rPr>
          <w:rFonts w:ascii="Times New Roman" w:hAnsi="Times New Roman"/>
          <w:sz w:val="28"/>
          <w:szCs w:val="28"/>
        </w:rPr>
      </w:pPr>
      <w:r>
        <w:rPr>
          <w:rFonts w:ascii="Times New Roman" w:hAnsi="Times New Roman"/>
          <w:sz w:val="28"/>
          <w:szCs w:val="28"/>
        </w:rPr>
        <w:t>Данное регулирование не распространяется на федеральных государственных служащих, замещающих должности на территориях Донецкой Народной Республики, Луганской Народной Республики, Запорожской области и Херсонской области (например, в соответствующих территориальных органах) и которые не принимают (не принимали) участие в специальной военной операции или непосредственно не выполняют (не выполняли)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w:t>
      </w:r>
    </w:p>
    <w:p w14:paraId="72D2051A">
      <w:pPr>
        <w:pStyle w:val="193"/>
        <w:tabs>
          <w:tab w:val="left" w:pos="567"/>
          <w:tab w:val="left" w:pos="993"/>
        </w:tabs>
        <w:ind w:left="0" w:firstLine="567"/>
        <w:contextualSpacing w:val="0"/>
        <w:rPr>
          <w:rFonts w:ascii="Times New Roman" w:hAnsi="Times New Roman"/>
          <w:sz w:val="28"/>
          <w:szCs w:val="28"/>
        </w:rPr>
      </w:pPr>
      <w:r>
        <w:rPr>
          <w:rFonts w:ascii="Times New Roman" w:hAnsi="Times New Roman"/>
          <w:sz w:val="28"/>
          <w:szCs w:val="28"/>
        </w:rPr>
        <w:t>Дополнительные пояснения содержатся в Инструктивно-методических материалах по вопросам реализации Указа Президента Российской Федерации от 29 декабря 2022 г. № 968 "Об особенностях исполнения обязанностей,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 (</w:t>
      </w:r>
      <w:r>
        <w:fldChar w:fldCharType="begin"/>
      </w:r>
      <w:r>
        <w:instrText xml:space="preserve"> HYPERLINK "https://mintrud.gov.ru/ministry/programms/anticorruption/9/23" </w:instrText>
      </w:r>
      <w:r>
        <w:fldChar w:fldCharType="separate"/>
      </w:r>
      <w:r>
        <w:rPr>
          <w:rStyle w:val="17"/>
          <w:rFonts w:ascii="Times New Roman" w:hAnsi="Times New Roman"/>
          <w:sz w:val="28"/>
          <w:szCs w:val="28"/>
        </w:rPr>
        <w:t>https://mintrud.gov.ru/ministry/programms/anticorruption/9/23</w:t>
      </w:r>
      <w:r>
        <w:rPr>
          <w:rStyle w:val="17"/>
          <w:rFonts w:ascii="Times New Roman" w:hAnsi="Times New Roman"/>
          <w:sz w:val="28"/>
          <w:szCs w:val="28"/>
        </w:rPr>
        <w:fldChar w:fldCharType="end"/>
      </w:r>
      <w:r>
        <w:rPr>
          <w:rFonts w:ascii="Times New Roman" w:hAnsi="Times New Roman"/>
          <w:sz w:val="28"/>
          <w:szCs w:val="28"/>
        </w:rPr>
        <w:t>).</w:t>
      </w:r>
    </w:p>
    <w:p w14:paraId="15FFC56B">
      <w:pPr>
        <w:pStyle w:val="193"/>
        <w:numPr>
          <w:ilvl w:val="0"/>
          <w:numId w:val="1"/>
        </w:numPr>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Нахождение служащего (работника) в отпуске (ежегодном оплачиваемом отпуске, отпуске без сохранения денежного содержания, отпуске по уходу за ребенком или другом предусмотренном законодательством Российской Федерации отпуске), временная нетрудоспособность или иной период неисполнения должностных обязанностей в соответствии с законодательством Российской Федерации о противодействии коррупции не освобождают от обязанности представить Сведения.</w:t>
      </w:r>
    </w:p>
    <w:p w14:paraId="503F8DA3">
      <w:pPr>
        <w:pStyle w:val="193"/>
        <w:numPr>
          <w:ilvl w:val="0"/>
          <w:numId w:val="1"/>
        </w:numPr>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В период проведения специальной военной операции и до издания соответствующих нормативных правовых актов Российской Федерации Сведения не представляют военнослужащие, сотрудники и лица, принимающие (принимавшие) участие в специальной военной операции или непосредственно выполняющие (выполнявшие)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 а также лица, направленные (командированные) для выполнения задач на территориях Донецкой Народной Республики, Луганской Народной Республики, Запорожской области и Херсонской области, замещающие должности, осуществление полномочий по которым влечет за собой обязанность представлять Сведения.</w:t>
      </w:r>
    </w:p>
    <w:p w14:paraId="34760F78">
      <w:pPr>
        <w:pStyle w:val="193"/>
        <w:tabs>
          <w:tab w:val="left" w:pos="567"/>
          <w:tab w:val="left" w:pos="851"/>
          <w:tab w:val="left" w:pos="993"/>
          <w:tab w:val="left" w:pos="1134"/>
        </w:tabs>
        <w:ind w:left="0" w:firstLine="567"/>
        <w:rPr>
          <w:rFonts w:ascii="Times New Roman" w:hAnsi="Times New Roman"/>
          <w:sz w:val="28"/>
          <w:szCs w:val="28"/>
        </w:rPr>
      </w:pPr>
      <w:r>
        <w:rPr>
          <w:rFonts w:ascii="Times New Roman" w:hAnsi="Times New Roman"/>
          <w:sz w:val="28"/>
          <w:szCs w:val="28"/>
        </w:rPr>
        <w:t>Вышеуказанные лица не представляют Сведения в рамках декларационной кампании 2026 года в случае, если они принимали участие в специальной военной операции или непосредственно выполняли задачи, связанные с ее проведением, на указанных территориях, в том числе, например, в ноябре 2022 года.</w:t>
      </w:r>
    </w:p>
    <w:p w14:paraId="44B07C3D">
      <w:pPr>
        <w:pStyle w:val="193"/>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 xml:space="preserve">Данные положения также затрагивают лиц, которые ранее направлены (командированы) для выполнения задач на территориях Донецкой Народной Республики, Луганской Народной Республики, Запорожской области и Херсонской области, но уже вернулись на постоянное место прохождения службы (работы) (вне зависимости от продолжительности и периода выполнения задач). </w:t>
      </w:r>
    </w:p>
    <w:p w14:paraId="2D4FF490">
      <w:pPr>
        <w:pStyle w:val="193"/>
        <w:tabs>
          <w:tab w:val="left" w:pos="567"/>
          <w:tab w:val="left" w:pos="709"/>
          <w:tab w:val="left" w:pos="993"/>
          <w:tab w:val="left" w:pos="1134"/>
        </w:tabs>
        <w:ind w:left="0" w:firstLine="567"/>
        <w:rPr>
          <w:rFonts w:ascii="Times New Roman" w:hAnsi="Times New Roman"/>
          <w:sz w:val="28"/>
          <w:szCs w:val="28"/>
        </w:rPr>
      </w:pPr>
      <w:r>
        <w:rPr>
          <w:rFonts w:ascii="Times New Roman" w:hAnsi="Times New Roman"/>
          <w:sz w:val="28"/>
          <w:szCs w:val="28"/>
        </w:rPr>
        <w:t>Дополнительные пояснения содержатся в Инструктивно-методических материалах по вопросам реализации Указа Президента Российской Федерации от 29 декабря 2022 г. № 968 "Об особенностях исполнения обязанностей,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 (</w:t>
      </w:r>
      <w:r>
        <w:fldChar w:fldCharType="begin"/>
      </w:r>
      <w:r>
        <w:instrText xml:space="preserve"> HYPERLINK "https://mintrud.gov.ru/ministry/programms/anticorruption/9/23" </w:instrText>
      </w:r>
      <w:r>
        <w:fldChar w:fldCharType="separate"/>
      </w:r>
      <w:r>
        <w:rPr>
          <w:rStyle w:val="17"/>
          <w:rFonts w:ascii="Times New Roman" w:hAnsi="Times New Roman"/>
          <w:sz w:val="28"/>
          <w:szCs w:val="28"/>
        </w:rPr>
        <w:t>https://mintrud.gov.ru/ministry/programms/anticorruption/9/23</w:t>
      </w:r>
      <w:r>
        <w:rPr>
          <w:rStyle w:val="17"/>
          <w:rFonts w:ascii="Times New Roman" w:hAnsi="Times New Roman"/>
          <w:sz w:val="28"/>
          <w:szCs w:val="28"/>
        </w:rPr>
        <w:fldChar w:fldCharType="end"/>
      </w:r>
      <w:r>
        <w:rPr>
          <w:rFonts w:ascii="Times New Roman" w:hAnsi="Times New Roman"/>
          <w:sz w:val="28"/>
          <w:szCs w:val="28"/>
        </w:rPr>
        <w:t xml:space="preserve">). </w:t>
      </w:r>
    </w:p>
    <w:p w14:paraId="63AA74B8">
      <w:pPr>
        <w:pStyle w:val="193"/>
        <w:numPr>
          <w:ilvl w:val="0"/>
          <w:numId w:val="1"/>
        </w:numPr>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Лица, призванные на военную службу по мобилизации или заключившие в соответствии с пунктом 7 статьи 38 Федерального закона от 28 марта 1998 г. № 53-ФЗ "О воинской обязанности и военной службе" контракт о прохождении военной службы либо контракт о добровольном содействии в выполнении задач, возложенных на Вооруженные Силы Российской Федерации, Сведения не представляют.</w:t>
      </w:r>
    </w:p>
    <w:p w14:paraId="7B5BC18B">
      <w:pPr>
        <w:pStyle w:val="193"/>
        <w:numPr>
          <w:ilvl w:val="0"/>
          <w:numId w:val="1"/>
        </w:numPr>
        <w:tabs>
          <w:tab w:val="left" w:pos="567"/>
          <w:tab w:val="left" w:pos="993"/>
          <w:tab w:val="left" w:pos="1134"/>
        </w:tabs>
        <w:ind w:left="0" w:firstLine="567"/>
        <w:rPr>
          <w:rFonts w:ascii="Times New Roman" w:hAnsi="Times New Roman"/>
          <w:sz w:val="28"/>
          <w:szCs w:val="28"/>
        </w:rPr>
      </w:pPr>
      <w:r>
        <w:rPr>
          <w:rFonts w:ascii="Times New Roman" w:hAnsi="Times New Roman"/>
          <w:sz w:val="28"/>
          <w:szCs w:val="28"/>
        </w:rPr>
        <w:t>Приостановление правоотношений, предусмотренное федеральными нормативными правовыми актами, в связи с призывом на военную службу по мобилизации или в связи с заключением в соответствии с пунктом 7 статьи 38 Федерального закона от 28 марта 1998 г. № 53-ФЗ "О воинской обязанности и военной службе" контракта о прохождении военной службы либо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предполагает, что приостанавливается осуществление установленных по основному месту службы (работы) прав и обязанностей, в том числе касающихся представления Сведений.</w:t>
      </w:r>
    </w:p>
    <w:p w14:paraId="0A1CEB1C">
      <w:pPr>
        <w:pStyle w:val="193"/>
        <w:numPr>
          <w:ilvl w:val="0"/>
          <w:numId w:val="1"/>
        </w:numPr>
        <w:tabs>
          <w:tab w:val="left" w:pos="567"/>
          <w:tab w:val="left" w:pos="993"/>
          <w:tab w:val="left" w:pos="1134"/>
        </w:tabs>
        <w:ind w:left="0" w:firstLine="567"/>
        <w:rPr>
          <w:rFonts w:ascii="Times New Roman" w:hAnsi="Times New Roman"/>
          <w:sz w:val="28"/>
          <w:szCs w:val="28"/>
        </w:rPr>
      </w:pPr>
      <w:bookmarkStart w:id="8" w:name="Невозможности"/>
      <w:r>
        <w:rPr>
          <w:rFonts w:ascii="Times New Roman" w:hAnsi="Times New Roman"/>
          <w:sz w:val="28"/>
          <w:szCs w:val="28"/>
        </w:rPr>
        <w:t xml:space="preserve">При невозможности представить Сведения лично служащему (работнику) рекомендуется направить их в государственный орган, орган местного самоуправления, организацию посредством почтовой связи. Сведения, направленные через организацию почтовой связи, считаются представленными в срок, если были сданы в организацию почтовой связи до 24 часов последнего дня срока, указанного </w:t>
      </w:r>
      <w:r>
        <w:rPr>
          <w:rFonts w:ascii="Times New Roman" w:hAnsi="Times New Roman"/>
          <w:sz w:val="28"/>
        </w:rPr>
        <w:t xml:space="preserve">в </w:t>
      </w:r>
      <w:r>
        <w:fldChar w:fldCharType="begin"/>
      </w:r>
      <w:r>
        <w:instrText xml:space="preserve"> HYPERLINK \l "Срок" </w:instrText>
      </w:r>
      <w:r>
        <w:fldChar w:fldCharType="separate"/>
      </w:r>
      <w:r>
        <w:rPr>
          <w:rStyle w:val="17"/>
          <w:rFonts w:ascii="Times New Roman" w:hAnsi="Times New Roman"/>
          <w:sz w:val="28"/>
        </w:rPr>
        <w:t>пункте 14 настоящих Методических рекомендаций</w:t>
      </w:r>
      <w:r>
        <w:rPr>
          <w:rStyle w:val="17"/>
          <w:rFonts w:ascii="Times New Roman" w:hAnsi="Times New Roman"/>
          <w:sz w:val="28"/>
        </w:rPr>
        <w:fldChar w:fldCharType="end"/>
      </w:r>
      <w:r>
        <w:rPr>
          <w:rFonts w:ascii="Times New Roman" w:hAnsi="Times New Roman"/>
          <w:sz w:val="28"/>
          <w:szCs w:val="28"/>
        </w:rPr>
        <w:t>.</w:t>
      </w:r>
    </w:p>
    <w:bookmarkEnd w:id="8"/>
    <w:p w14:paraId="127448B2">
      <w:pPr>
        <w:pStyle w:val="3"/>
      </w:pPr>
      <w:bookmarkStart w:id="9" w:name="_Toc225936056"/>
      <w:r>
        <w:t>Сроки представления Сведений</w:t>
      </w:r>
      <w:bookmarkEnd w:id="9"/>
    </w:p>
    <w:p w14:paraId="12159EFF">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 xml:space="preserve">Граждане представляют сведения о доходах, об имуществе и обязательствах имущественного характера при подаче документов для наделения полномочиями по должности, назначения или избрания на должность (до назначения на должность, вместе с основным пакетом документов) </w:t>
      </w:r>
      <w:r>
        <w:fldChar w:fldCharType="begin"/>
      </w:r>
      <w:r>
        <w:instrText xml:space="preserve"> HYPERLINK \l "месяц" </w:instrText>
      </w:r>
      <w:r>
        <w:fldChar w:fldCharType="separate"/>
      </w:r>
      <w:r>
        <w:rPr>
          <w:rStyle w:val="17"/>
          <w:rFonts w:ascii="Times New Roman" w:hAnsi="Times New Roman"/>
          <w:sz w:val="28"/>
          <w:szCs w:val="28"/>
        </w:rPr>
        <w:t>с учетом особенностей, указанных в настоящих Методических рекомендациях</w:t>
      </w:r>
      <w:r>
        <w:rPr>
          <w:rStyle w:val="17"/>
          <w:rFonts w:ascii="Times New Roman" w:hAnsi="Times New Roman"/>
          <w:sz w:val="28"/>
          <w:szCs w:val="28"/>
        </w:rPr>
        <w:fldChar w:fldCharType="end"/>
      </w:r>
      <w:r>
        <w:rPr>
          <w:rFonts w:ascii="Times New Roman" w:hAnsi="Times New Roman"/>
          <w:sz w:val="28"/>
          <w:szCs w:val="28"/>
        </w:rPr>
        <w:t xml:space="preserve">. </w:t>
      </w:r>
    </w:p>
    <w:p w14:paraId="5714A356">
      <w:pPr>
        <w:pStyle w:val="193"/>
        <w:tabs>
          <w:tab w:val="left" w:pos="567"/>
          <w:tab w:val="left" w:pos="1134"/>
        </w:tabs>
        <w:ind w:left="0" w:firstLine="567"/>
        <w:rPr>
          <w:rFonts w:ascii="Times New Roman" w:hAnsi="Times New Roman"/>
          <w:sz w:val="28"/>
          <w:szCs w:val="28"/>
        </w:rPr>
      </w:pPr>
      <w:r>
        <w:rPr>
          <w:rFonts w:ascii="Times New Roman" w:hAnsi="Times New Roman"/>
          <w:sz w:val="28"/>
          <w:szCs w:val="28"/>
        </w:rPr>
        <w:t>В случае, если при наделении гражданина полномочиями по должности, назначение на которую осуществляется Президентом Российской Федерации или Правительством Российской Федерации, сведения о доходах, об имуществе и обязательствах имущественного характера не представлялись, они представляются в течение четырех месяцев со дня назначения на такую должность.</w:t>
      </w:r>
    </w:p>
    <w:p w14:paraId="6281574E">
      <w:pPr>
        <w:pStyle w:val="193"/>
        <w:tabs>
          <w:tab w:val="left" w:pos="0"/>
          <w:tab w:val="left" w:pos="567"/>
          <w:tab w:val="left" w:pos="1134"/>
        </w:tabs>
        <w:ind w:left="0" w:firstLine="567"/>
        <w:rPr>
          <w:rFonts w:ascii="Times New Roman" w:hAnsi="Times New Roman"/>
          <w:sz w:val="28"/>
          <w:szCs w:val="28"/>
        </w:rPr>
      </w:pPr>
      <w:r>
        <w:rPr>
          <w:rFonts w:ascii="Times New Roman" w:hAnsi="Times New Roman"/>
          <w:sz w:val="28"/>
          <w:szCs w:val="28"/>
        </w:rPr>
        <w:t>Участие гражданина в конкурсе на замещение вакантной должности государственной гражданской службы Российской Федерации не предполагает обязанность представить сведения о доходах, об имуществе и обязательствах имущественного характера. Сведения о доходах, об имуществе и обязательствах имущественного характера представляются перед назначением на должность государственной гражданской службы Российской Федерации.</w:t>
      </w:r>
    </w:p>
    <w:p w14:paraId="16FF2DCB">
      <w:pPr>
        <w:pStyle w:val="193"/>
        <w:tabs>
          <w:tab w:val="left" w:pos="567"/>
          <w:tab w:val="left" w:pos="1134"/>
        </w:tabs>
        <w:ind w:left="0" w:firstLine="567"/>
        <w:rPr>
          <w:rFonts w:ascii="Times New Roman" w:hAnsi="Times New Roman"/>
          <w:sz w:val="28"/>
          <w:szCs w:val="28"/>
        </w:rPr>
      </w:pPr>
      <w:r>
        <w:rPr>
          <w:rFonts w:ascii="Times New Roman" w:hAnsi="Times New Roman"/>
          <w:sz w:val="28"/>
          <w:szCs w:val="28"/>
        </w:rPr>
        <w:t>Атаманы войсковых казачьих обществ, избранные высшим органом управления войсковых казачьих обществ, представляют сведения о доходах, об имуществе и обязательствах имущественного характера при внесении Президенту Российской Федерации представления об утверждении атамана войскового казачьего общества.</w:t>
      </w:r>
    </w:p>
    <w:p w14:paraId="41C30DEA">
      <w:pPr>
        <w:pStyle w:val="193"/>
        <w:tabs>
          <w:tab w:val="left" w:pos="567"/>
          <w:tab w:val="left" w:pos="1134"/>
        </w:tabs>
        <w:ind w:left="0" w:firstLine="567"/>
        <w:rPr>
          <w:rFonts w:ascii="Times New Roman" w:hAnsi="Times New Roman"/>
          <w:sz w:val="28"/>
          <w:szCs w:val="28"/>
        </w:rPr>
      </w:pPr>
      <w:r>
        <w:rPr>
          <w:rFonts w:ascii="Times New Roman" w:hAnsi="Times New Roman"/>
          <w:sz w:val="28"/>
          <w:szCs w:val="28"/>
        </w:rPr>
        <w:t>Гражданин, претендующий на замещение должности атамана Всероссийского казачьего общества, представляет сведения о доходах, об имуществе и обязательствах имущественного характера при подаче документов для подготовки представления о назначении на указанную должность.</w:t>
      </w:r>
    </w:p>
    <w:p w14:paraId="2DDAFD19">
      <w:pPr>
        <w:pStyle w:val="193"/>
        <w:numPr>
          <w:ilvl w:val="0"/>
          <w:numId w:val="1"/>
        </w:numPr>
        <w:tabs>
          <w:tab w:val="left" w:pos="567"/>
          <w:tab w:val="left" w:pos="1134"/>
        </w:tabs>
        <w:ind w:left="0" w:firstLine="567"/>
        <w:rPr>
          <w:rFonts w:ascii="Times New Roman" w:hAnsi="Times New Roman"/>
          <w:sz w:val="28"/>
          <w:szCs w:val="28"/>
        </w:rPr>
      </w:pPr>
      <w:bookmarkStart w:id="10" w:name="Срок"/>
      <w:r>
        <w:rPr>
          <w:rFonts w:ascii="Times New Roman" w:hAnsi="Times New Roman"/>
          <w:sz w:val="28"/>
          <w:szCs w:val="28"/>
        </w:rPr>
        <w:t>Государственные служащие, претендующие на замещение должности государственной службы в данном государственном органе, включенной в перечень должностей, представляют сведения о доходах, об имуществе и обязательствах имущественного характера до издания акта о назначении на должность. Аналогично в отношении муниципальных служащих и в отношении государственных служащих, назначаемых на любые должности в порядке перевода из другого государственного органа.</w:t>
      </w:r>
    </w:p>
    <w:p w14:paraId="568C9225">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Служащие (работники) представляют Сведения не позднее 30 апреля года, следующего за годом, в котором возникли основания для представления сведений о расходах в соответствии с Федеральным законом от 3 декабря 2012 г. № 230-ФЗ "О контроле за соответствием расходов лиц, замещающих государственные должности, и иных лиц их доходам".</w:t>
      </w:r>
    </w:p>
    <w:bookmarkEnd w:id="10"/>
    <w:p w14:paraId="7CF782DE">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 xml:space="preserve">Сведения могут быть представлены служащим (работником) в любое время, начиная с 1 января года, следующего за отчетным. </w:t>
      </w:r>
    </w:p>
    <w:p w14:paraId="3E6479E8">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Откладывать представление Сведений до апреля не рекомендуется, особенно в случае планируемого длительного отсутствия служащего (работника), например, убытия в служебную командировку или отпуск.</w:t>
      </w:r>
    </w:p>
    <w:p w14:paraId="2FA58B7B">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 xml:space="preserve">Если последний день срока представления Сведений приходится на нерабочий день, то Сведения представляются в последний рабочий день. В нерабочий день Сведения направляются посредством почтовой связи с соблюдением условий, указанных </w:t>
      </w:r>
      <w:r>
        <w:rPr>
          <w:rFonts w:ascii="Times New Roman" w:hAnsi="Times New Roman"/>
          <w:sz w:val="28"/>
        </w:rPr>
        <w:t xml:space="preserve">в </w:t>
      </w:r>
      <w:r>
        <w:fldChar w:fldCharType="begin"/>
      </w:r>
      <w:r>
        <w:instrText xml:space="preserve"> HYPERLINK \l "Невозможности" </w:instrText>
      </w:r>
      <w:r>
        <w:fldChar w:fldCharType="separate"/>
      </w:r>
      <w:r>
        <w:rPr>
          <w:rStyle w:val="17"/>
          <w:rFonts w:ascii="Times New Roman" w:hAnsi="Times New Roman"/>
          <w:sz w:val="28"/>
        </w:rPr>
        <w:t>пункте 12 настоящих Методических рекомендаций</w:t>
      </w:r>
      <w:r>
        <w:rPr>
          <w:rStyle w:val="17"/>
          <w:rFonts w:ascii="Times New Roman" w:hAnsi="Times New Roman"/>
          <w:sz w:val="28"/>
        </w:rPr>
        <w:fldChar w:fldCharType="end"/>
      </w:r>
      <w:r>
        <w:rPr>
          <w:rFonts w:ascii="Times New Roman" w:hAnsi="Times New Roman"/>
          <w:sz w:val="28"/>
          <w:szCs w:val="28"/>
        </w:rPr>
        <w:t>.</w:t>
      </w:r>
    </w:p>
    <w:p w14:paraId="7CE4AB1F">
      <w:pPr>
        <w:pStyle w:val="193"/>
        <w:tabs>
          <w:tab w:val="left" w:pos="567"/>
          <w:tab w:val="left" w:pos="1134"/>
        </w:tabs>
        <w:ind w:left="0" w:firstLine="567"/>
        <w:rPr>
          <w:rFonts w:ascii="Times New Roman" w:hAnsi="Times New Roman"/>
          <w:sz w:val="28"/>
          <w:szCs w:val="28"/>
        </w:rPr>
      </w:pPr>
      <w:r>
        <w:rPr>
          <w:rFonts w:ascii="Times New Roman" w:hAnsi="Times New Roman"/>
          <w:sz w:val="28"/>
          <w:szCs w:val="28"/>
        </w:rPr>
        <w:t>Нерабочий день не является основанием для переноса срока представления Сведений.</w:t>
      </w:r>
    </w:p>
    <w:p w14:paraId="6B85C25D">
      <w:pPr>
        <w:pStyle w:val="193"/>
        <w:numPr>
          <w:ilvl w:val="0"/>
          <w:numId w:val="1"/>
        </w:numPr>
        <w:tabs>
          <w:tab w:val="left" w:pos="567"/>
          <w:tab w:val="left" w:pos="1134"/>
        </w:tabs>
        <w:ind w:left="0" w:firstLine="567"/>
        <w:rPr>
          <w:rFonts w:ascii="Times New Roman" w:hAnsi="Times New Roman"/>
          <w:sz w:val="28"/>
        </w:rPr>
      </w:pPr>
      <w:r>
        <w:rPr>
          <w:rFonts w:ascii="Times New Roman" w:hAnsi="Times New Roman"/>
          <w:sz w:val="28"/>
          <w:szCs w:val="28"/>
        </w:rPr>
        <w:t>Временно исполняющий обязанности высшего должностного лица субъекта Российской Федерации представляет сведения о доходах, об имуществе и обязательствах имущественного характера в течение 15 дней со дня назначения на должность, за исключением ситуаций, если до назначения на эту должность он замещал должность, в отношении которой предусмотрена обязанность представлять Сведения в уполномоченное подразделение Администрации Президента Российской Федерации, и Сведения им были представлены в год назначения, а также если он назначен на эту должность в период, в течение которого Сведения должны быть представлены в соответствии с частью 9 статьи 27 Федерального закона от 21 декабря 2021 г. № 414-ФЗ "Об общих принципах организации публичной власти в субъектах Российской Федерации".</w:t>
      </w:r>
    </w:p>
    <w:p w14:paraId="2E20DEC8">
      <w:pPr>
        <w:pStyle w:val="38"/>
        <w:numPr>
          <w:ilvl w:val="0"/>
          <w:numId w:val="1"/>
        </w:numPr>
        <w:tabs>
          <w:tab w:val="left" w:pos="567"/>
          <w:tab w:val="left" w:pos="1134"/>
        </w:tabs>
        <w:spacing w:before="0" w:after="0" w:line="180" w:lineRule="atLeast"/>
        <w:ind w:left="0" w:firstLine="567"/>
        <w:rPr>
          <w:sz w:val="28"/>
          <w:szCs w:val="28"/>
        </w:rPr>
      </w:pPr>
      <w:r>
        <w:rPr>
          <w:sz w:val="28"/>
          <w:szCs w:val="28"/>
        </w:rPr>
        <w:t>Временно исполняющий полномочия главы муниципального образования, назначаемый высшим должностным лицом субъекта Российской Федерации в случаях, предусмотренных частью 6 статьи 19 и частью 16 статьи 21 Федерального закона от 20 марта 2025 г. № 33-ФЗ "Об общих принципах организации местного самоуправления в единой системе публичной власти", представляет Сведения в порядке, установленном для главы муниципального образования. Также им представляются сведения о доходах, об имуществе и обязательствах имущественного характера в течение 15 дней со дня назначения в соответствии с частью 27 статьи 19 указанного Федерального закона.</w:t>
      </w:r>
    </w:p>
    <w:p w14:paraId="057E5E9A">
      <w:pPr>
        <w:pStyle w:val="3"/>
      </w:pPr>
      <w:bookmarkStart w:id="11" w:name="_Toc225936057"/>
      <w:r>
        <w:t>Лица, в отношении которых представляются Сведения</w:t>
      </w:r>
      <w:bookmarkEnd w:id="11"/>
    </w:p>
    <w:p w14:paraId="5BFFF450">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Сведения представляются отдельно:</w:t>
      </w:r>
    </w:p>
    <w:p w14:paraId="054C8E03">
      <w:pPr>
        <w:tabs>
          <w:tab w:val="left" w:pos="567"/>
          <w:tab w:val="left" w:pos="1134"/>
        </w:tabs>
        <w:ind w:firstLine="567"/>
        <w:rPr>
          <w:rFonts w:ascii="Times New Roman" w:hAnsi="Times New Roman"/>
          <w:sz w:val="28"/>
          <w:szCs w:val="28"/>
        </w:rPr>
      </w:pPr>
      <w:r>
        <w:rPr>
          <w:rFonts w:ascii="Times New Roman" w:hAnsi="Times New Roman"/>
          <w:sz w:val="28"/>
          <w:szCs w:val="28"/>
        </w:rPr>
        <w:t>1) в отношении служащего (работника),</w:t>
      </w:r>
    </w:p>
    <w:p w14:paraId="64F0C09C">
      <w:pPr>
        <w:tabs>
          <w:tab w:val="left" w:pos="567"/>
          <w:tab w:val="left" w:pos="1134"/>
        </w:tabs>
        <w:ind w:firstLine="567"/>
        <w:rPr>
          <w:rFonts w:ascii="Times New Roman" w:hAnsi="Times New Roman"/>
          <w:sz w:val="28"/>
          <w:szCs w:val="28"/>
        </w:rPr>
      </w:pPr>
      <w:r>
        <w:rPr>
          <w:rFonts w:ascii="Times New Roman" w:hAnsi="Times New Roman"/>
          <w:sz w:val="28"/>
          <w:szCs w:val="28"/>
        </w:rPr>
        <w:t>2) в отношении его супруги (супруга),</w:t>
      </w:r>
    </w:p>
    <w:p w14:paraId="031A115E">
      <w:pPr>
        <w:tabs>
          <w:tab w:val="left" w:pos="567"/>
          <w:tab w:val="left" w:pos="1134"/>
        </w:tabs>
        <w:ind w:firstLine="567"/>
        <w:rPr>
          <w:rFonts w:ascii="Times New Roman" w:hAnsi="Times New Roman"/>
          <w:sz w:val="28"/>
          <w:szCs w:val="28"/>
        </w:rPr>
      </w:pPr>
      <w:r>
        <w:rPr>
          <w:rFonts w:ascii="Times New Roman" w:hAnsi="Times New Roman"/>
          <w:sz w:val="28"/>
          <w:szCs w:val="28"/>
        </w:rPr>
        <w:t>3) в отношении каждого несовершеннолетнего ребенка служащего (работника).</w:t>
      </w:r>
    </w:p>
    <w:p w14:paraId="1A18FDD2">
      <w:pPr>
        <w:tabs>
          <w:tab w:val="left" w:pos="567"/>
          <w:tab w:val="left" w:pos="1134"/>
        </w:tabs>
        <w:ind w:firstLine="567"/>
        <w:rPr>
          <w:rFonts w:ascii="Times New Roman" w:hAnsi="Times New Roman"/>
          <w:sz w:val="28"/>
          <w:szCs w:val="28"/>
        </w:rPr>
      </w:pPr>
      <w:r>
        <w:rPr>
          <w:rFonts w:ascii="Times New Roman" w:hAnsi="Times New Roman"/>
          <w:sz w:val="28"/>
          <w:szCs w:val="28"/>
        </w:rPr>
        <w:t xml:space="preserve">Например, служащий (работник), имеющий супругу и двоих несовершеннолетних детей, обязан представить четыре справки – отдельно на себя и на каждого члена семьи. Не допускается представление Сведений на двух и более лиц (например, на двоих несовершеннолетних детей) в одной справке. </w:t>
      </w:r>
    </w:p>
    <w:p w14:paraId="56146CA9">
      <w:pPr>
        <w:pStyle w:val="3"/>
      </w:pPr>
      <w:bookmarkStart w:id="12" w:name="_Toc225936058"/>
      <w:r>
        <w:t>Отчетный период и отчетная дата представления Сведений</w:t>
      </w:r>
      <w:bookmarkEnd w:id="12"/>
    </w:p>
    <w:p w14:paraId="4BCE1D62">
      <w:pPr>
        <w:pStyle w:val="193"/>
        <w:numPr>
          <w:ilvl w:val="0"/>
          <w:numId w:val="1"/>
        </w:numPr>
        <w:tabs>
          <w:tab w:val="left" w:pos="567"/>
          <w:tab w:val="left" w:pos="1134"/>
        </w:tabs>
        <w:ind w:left="0" w:firstLine="567"/>
        <w:rPr>
          <w:rFonts w:ascii="Times New Roman" w:hAnsi="Times New Roman"/>
          <w:sz w:val="28"/>
          <w:szCs w:val="28"/>
        </w:rPr>
      </w:pPr>
      <w:bookmarkStart w:id="13" w:name="Отчетные"/>
      <w:r>
        <w:rPr>
          <w:rFonts w:ascii="Times New Roman" w:hAnsi="Times New Roman"/>
          <w:sz w:val="28"/>
        </w:rPr>
        <w:t xml:space="preserve">Отчетный период и отчетная дата представления </w:t>
      </w:r>
      <w:r>
        <w:rPr>
          <w:rFonts w:ascii="Times New Roman" w:hAnsi="Times New Roman"/>
          <w:sz w:val="28"/>
          <w:szCs w:val="28"/>
        </w:rPr>
        <w:t>сведений о доходах, об имуществе и обязательствах имущественного характера</w:t>
      </w:r>
      <w:r>
        <w:rPr>
          <w:rFonts w:ascii="Times New Roman" w:hAnsi="Times New Roman" w:eastAsia="Arial" w:cs="Arial"/>
          <w:sz w:val="28"/>
          <w:szCs w:val="28"/>
        </w:rPr>
        <w:t>,</w:t>
      </w:r>
      <w:r>
        <w:rPr>
          <w:rFonts w:ascii="Times New Roman" w:hAnsi="Times New Roman"/>
          <w:sz w:val="28"/>
          <w:szCs w:val="28"/>
        </w:rPr>
        <w:t xml:space="preserve"> установленные для граждан и служащих (работников), различны:</w:t>
      </w:r>
    </w:p>
    <w:p w14:paraId="3D4A1D02">
      <w:pPr>
        <w:pStyle w:val="193"/>
        <w:numPr>
          <w:ilvl w:val="0"/>
          <w:numId w:val="4"/>
        </w:numPr>
        <w:tabs>
          <w:tab w:val="left" w:pos="567"/>
          <w:tab w:val="left" w:pos="1134"/>
          <w:tab w:val="left" w:pos="1276"/>
        </w:tabs>
        <w:ind w:left="0" w:firstLine="567"/>
        <w:rPr>
          <w:rFonts w:ascii="Times New Roman" w:hAnsi="Times New Roman"/>
          <w:sz w:val="28"/>
          <w:szCs w:val="28"/>
        </w:rPr>
      </w:pPr>
      <w:r>
        <w:rPr>
          <w:rFonts w:ascii="Times New Roman" w:hAnsi="Times New Roman"/>
          <w:sz w:val="28"/>
          <w:szCs w:val="28"/>
        </w:rPr>
        <w:t xml:space="preserve">гражданин, а также в случаях, указанных в </w:t>
      </w:r>
      <w:r>
        <w:fldChar w:fldCharType="begin"/>
      </w:r>
      <w:r>
        <w:instrText xml:space="preserve"> HYPERLINK \l "пункт4" </w:instrText>
      </w:r>
      <w:r>
        <w:fldChar w:fldCharType="separate"/>
      </w:r>
      <w:r>
        <w:rPr>
          <w:rStyle w:val="17"/>
          <w:rFonts w:ascii="Times New Roman" w:hAnsi="Times New Roman"/>
          <w:sz w:val="28"/>
          <w:szCs w:val="28"/>
        </w:rPr>
        <w:t>пунктах 4 и 5 настоящих Методических рекомендаций</w:t>
      </w:r>
      <w:r>
        <w:rPr>
          <w:rStyle w:val="17"/>
          <w:rFonts w:ascii="Times New Roman" w:hAnsi="Times New Roman"/>
          <w:sz w:val="28"/>
          <w:szCs w:val="28"/>
        </w:rPr>
        <w:fldChar w:fldCharType="end"/>
      </w:r>
      <w:r>
        <w:rPr>
          <w:rFonts w:ascii="Times New Roman" w:hAnsi="Times New Roman"/>
          <w:sz w:val="28"/>
          <w:szCs w:val="28"/>
        </w:rPr>
        <w:t>, служащий представляет:</w:t>
      </w:r>
    </w:p>
    <w:p w14:paraId="5F47987C">
      <w:pPr>
        <w:pStyle w:val="193"/>
        <w:tabs>
          <w:tab w:val="left" w:pos="567"/>
          <w:tab w:val="left" w:pos="1134"/>
          <w:tab w:val="left" w:pos="1276"/>
        </w:tabs>
        <w:ind w:left="0" w:firstLine="567"/>
        <w:rPr>
          <w:rFonts w:ascii="Times New Roman" w:hAnsi="Times New Roman"/>
          <w:sz w:val="28"/>
          <w:szCs w:val="28"/>
        </w:rPr>
      </w:pPr>
      <w:r>
        <w:rPr>
          <w:rFonts w:ascii="Times New Roman" w:hAnsi="Times New Roman"/>
          <w:sz w:val="28"/>
          <w:szCs w:val="28"/>
        </w:rPr>
        <w:t>а)</w:t>
      </w:r>
      <w:r>
        <w:rPr>
          <w:rFonts w:ascii="Times New Roman" w:hAnsi="Times New Roman"/>
          <w:sz w:val="28"/>
          <w:szCs w:val="28"/>
          <w:lang w:val="en-US"/>
        </w:rPr>
        <w:t> </w:t>
      </w:r>
      <w:r>
        <w:rPr>
          <w:rFonts w:ascii="Times New Roman" w:hAnsi="Times New Roman"/>
          <w:sz w:val="28"/>
          <w:szCs w:val="28"/>
        </w:rPr>
        <w:t>сведения о своих доходах, доходах своих супруги (супруга) и несовершеннолетних детей, полученных за календарный год, предшествующий году подачи документов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w:t>
      </w:r>
    </w:p>
    <w:p w14:paraId="58B1C72E">
      <w:pPr>
        <w:pStyle w:val="193"/>
        <w:tabs>
          <w:tab w:val="left" w:pos="567"/>
          <w:tab w:val="left" w:pos="1134"/>
          <w:tab w:val="left" w:pos="1276"/>
        </w:tabs>
        <w:ind w:left="0" w:firstLine="567"/>
        <w:rPr>
          <w:rFonts w:ascii="Times New Roman" w:hAnsi="Times New Roman"/>
          <w:sz w:val="28"/>
          <w:szCs w:val="28"/>
        </w:rPr>
      </w:pPr>
      <w:r>
        <w:rPr>
          <w:rFonts w:ascii="Times New Roman" w:hAnsi="Times New Roman"/>
          <w:sz w:val="28"/>
          <w:szCs w:val="28"/>
        </w:rPr>
        <w:t>б)</w:t>
      </w:r>
      <w:r>
        <w:rPr>
          <w:rFonts w:ascii="Times New Roman" w:hAnsi="Times New Roman"/>
          <w:sz w:val="28"/>
          <w:szCs w:val="28"/>
          <w:lang w:val="en-US"/>
        </w:rPr>
        <w:t> </w:t>
      </w:r>
      <w:r>
        <w:rPr>
          <w:rFonts w:ascii="Times New Roman" w:hAnsi="Times New Roman"/>
          <w:sz w:val="28"/>
          <w:szCs w:val="28"/>
        </w:rPr>
        <w:t>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первое число месяца, предшествующего месяцу подачи документов (на отчетную дату);</w:t>
      </w:r>
    </w:p>
    <w:p w14:paraId="37330C66">
      <w:pPr>
        <w:pStyle w:val="193"/>
        <w:numPr>
          <w:ilvl w:val="0"/>
          <w:numId w:val="4"/>
        </w:numPr>
        <w:tabs>
          <w:tab w:val="left" w:pos="567"/>
          <w:tab w:val="left" w:pos="1134"/>
          <w:tab w:val="left" w:pos="1276"/>
        </w:tabs>
        <w:ind w:left="0" w:firstLine="567"/>
        <w:rPr>
          <w:rFonts w:ascii="Times New Roman" w:hAnsi="Times New Roman"/>
          <w:sz w:val="28"/>
          <w:szCs w:val="28"/>
        </w:rPr>
      </w:pPr>
      <w:r>
        <w:rPr>
          <w:rFonts w:ascii="Times New Roman" w:hAnsi="Times New Roman"/>
          <w:sz w:val="28"/>
          <w:szCs w:val="28"/>
        </w:rPr>
        <w:t>служащий (работник) в рамках декларационной кампании представляет:</w:t>
      </w:r>
    </w:p>
    <w:p w14:paraId="3C6F72FB">
      <w:pPr>
        <w:tabs>
          <w:tab w:val="left" w:pos="567"/>
          <w:tab w:val="left" w:pos="1134"/>
          <w:tab w:val="left" w:pos="1276"/>
        </w:tabs>
        <w:ind w:firstLine="567"/>
        <w:rPr>
          <w:rFonts w:ascii="Times New Roman" w:hAnsi="Times New Roman"/>
          <w:sz w:val="28"/>
          <w:szCs w:val="28"/>
        </w:rPr>
      </w:pPr>
      <w:r>
        <w:rPr>
          <w:rFonts w:ascii="Times New Roman" w:hAnsi="Times New Roman"/>
          <w:sz w:val="28"/>
          <w:szCs w:val="28"/>
        </w:rPr>
        <w:t>а)</w:t>
      </w:r>
      <w:r>
        <w:rPr>
          <w:rFonts w:ascii="Times New Roman" w:hAnsi="Times New Roman"/>
          <w:sz w:val="28"/>
          <w:szCs w:val="28"/>
          <w:lang w:val="en-US"/>
        </w:rPr>
        <w:t> </w:t>
      </w:r>
      <w:r>
        <w:rPr>
          <w:rFonts w:ascii="Times New Roman" w:hAnsi="Times New Roman"/>
          <w:sz w:val="28"/>
          <w:szCs w:val="28"/>
        </w:rPr>
        <w:t xml:space="preserve">сведения о своих доходах, доходах своих супруги (супруга) </w:t>
      </w:r>
      <w:r>
        <w:rPr>
          <w:rFonts w:ascii="Times New Roman" w:hAnsi="Times New Roman"/>
          <w:sz w:val="28"/>
          <w:szCs w:val="28"/>
        </w:rPr>
        <w:br w:type="textWrapping"/>
      </w:r>
      <w:r>
        <w:rPr>
          <w:rFonts w:ascii="Times New Roman" w:hAnsi="Times New Roman"/>
          <w:sz w:val="28"/>
          <w:szCs w:val="28"/>
        </w:rPr>
        <w:t>и несовершеннолетних детей, полученных за календарный год, предшествующий году представления Сведений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w:t>
      </w:r>
    </w:p>
    <w:p w14:paraId="1A9ADD6E">
      <w:pPr>
        <w:tabs>
          <w:tab w:val="left" w:pos="567"/>
          <w:tab w:val="left" w:pos="1134"/>
          <w:tab w:val="left" w:pos="1276"/>
        </w:tabs>
        <w:ind w:firstLine="567"/>
        <w:rPr>
          <w:rFonts w:ascii="Times New Roman" w:hAnsi="Times New Roman"/>
          <w:sz w:val="28"/>
          <w:szCs w:val="28"/>
        </w:rPr>
      </w:pPr>
      <w:r>
        <w:rPr>
          <w:rFonts w:ascii="Times New Roman" w:hAnsi="Times New Roman"/>
          <w:sz w:val="28"/>
          <w:szCs w:val="28"/>
        </w:rPr>
        <w:t>б)</w:t>
      </w:r>
      <w:r>
        <w:rPr>
          <w:rFonts w:ascii="Times New Roman" w:hAnsi="Times New Roman"/>
          <w:sz w:val="28"/>
          <w:szCs w:val="28"/>
          <w:lang w:val="en-US"/>
        </w:rPr>
        <w:t> </w:t>
      </w:r>
      <w:r>
        <w:rPr>
          <w:rFonts w:ascii="Times New Roman" w:hAnsi="Times New Roman"/>
          <w:sz w:val="28"/>
          <w:szCs w:val="28"/>
        </w:rPr>
        <w:t>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конец отчетного периода (31 декабря года, предшествующего году представления Сведений);</w:t>
      </w:r>
    </w:p>
    <w:p w14:paraId="422D7B0F">
      <w:pPr>
        <w:pStyle w:val="193"/>
        <w:tabs>
          <w:tab w:val="left" w:pos="567"/>
          <w:tab w:val="left" w:pos="1134"/>
          <w:tab w:val="left" w:pos="1276"/>
        </w:tabs>
        <w:ind w:left="0" w:firstLine="567"/>
        <w:rPr>
          <w:rFonts w:ascii="Times New Roman" w:hAnsi="Times New Roman"/>
          <w:sz w:val="28"/>
          <w:szCs w:val="28"/>
        </w:rPr>
      </w:pPr>
      <w:r>
        <w:rPr>
          <w:rFonts w:ascii="Times New Roman" w:hAnsi="Times New Roman"/>
          <w:sz w:val="28"/>
          <w:szCs w:val="28"/>
        </w:rPr>
        <w:t>3) лицо при назначении временно исполняющим обязанности высшего должностного лица субъекта Российской Федерации или временно исполняющим полномочия главы муниципального образования представляет сведения о своих доходах, доходах своих супруги (супруга) и несовершеннолетних детей, полученных за календарный год, предшествующий году назначения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 а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день назначения.</w:t>
      </w:r>
    </w:p>
    <w:bookmarkEnd w:id="13"/>
    <w:p w14:paraId="0F3C35BD">
      <w:pPr>
        <w:pStyle w:val="193"/>
        <w:numPr>
          <w:ilvl w:val="0"/>
          <w:numId w:val="1"/>
        </w:numPr>
        <w:tabs>
          <w:tab w:val="left" w:pos="567"/>
          <w:tab w:val="left" w:pos="993"/>
          <w:tab w:val="left" w:pos="1134"/>
        </w:tabs>
        <w:ind w:left="0" w:firstLine="567"/>
        <w:rPr>
          <w:rFonts w:ascii="Times New Roman" w:hAnsi="Times New Roman"/>
          <w:sz w:val="28"/>
          <w:szCs w:val="28"/>
        </w:rPr>
      </w:pPr>
      <w:bookmarkStart w:id="14" w:name="_Hlk153818148"/>
      <w:r>
        <w:rPr>
          <w:rFonts w:ascii="Times New Roman" w:hAnsi="Times New Roman"/>
          <w:sz w:val="28"/>
          <w:szCs w:val="28"/>
        </w:rPr>
        <w:t>Необходимо учитывать, что дата печати справки автоматически формируется в зоне служебной информации (в правом нижнем углу справки). В связи с этим важно обращать внимание на ситуации, при которых отчетная дата напрямую зависит от месяца представления справки (например, если гражданин планирует представить сведения в августе 2026 года, то отчетной датой будет являться 1 июля 2026 года: в таком случае рекомендуется распечатывать справку также в августе 2026 года).</w:t>
      </w:r>
      <w:bookmarkEnd w:id="14"/>
    </w:p>
    <w:p w14:paraId="7CA346FB">
      <w:pPr>
        <w:pStyle w:val="3"/>
      </w:pPr>
      <w:bookmarkStart w:id="15" w:name="_Toc225936059"/>
      <w:r>
        <w:t>Замещение конкретной должности на отчетную дату как основание для представления Сведений</w:t>
      </w:r>
      <w:bookmarkEnd w:id="15"/>
    </w:p>
    <w:p w14:paraId="34864528">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Представление Сведений после увольнения служащего (работника) в период с 1 января по 30 апреля 2026 г. не требуется.</w:t>
      </w:r>
    </w:p>
    <w:p w14:paraId="1435EC25">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В случае замещения работником в одной организации нескольких должностей (внутреннее совместительство, т.е. работник заключил трудовой договор о выполнении в свободное от основной работы время другой регулярной оплачиваемой работы у того же работодателя), которые включены в соответствующий перечень, то таким работником при наличии оснований в рамках декларационной кампании заполняется одна справка с указанием обеих должностей.</w:t>
      </w:r>
    </w:p>
    <w:p w14:paraId="73B11690">
      <w:pPr>
        <w:tabs>
          <w:tab w:val="left" w:pos="567"/>
        </w:tabs>
        <w:ind w:firstLine="567"/>
        <w:rPr>
          <w:rFonts w:ascii="Times New Roman" w:hAnsi="Times New Roman"/>
          <w:sz w:val="28"/>
          <w:szCs w:val="28"/>
        </w:rPr>
      </w:pPr>
      <w:r>
        <w:rPr>
          <w:rFonts w:ascii="Times New Roman" w:hAnsi="Times New Roman"/>
          <w:sz w:val="28"/>
          <w:szCs w:val="28"/>
        </w:rPr>
        <w:t xml:space="preserve">При внешнем совместительстве (работником заключен трудовой договор о выполнении в свободное от основной работы время другой регулярной оплачиваемой работы у другого работодателя) работник, замещающий в разных организациях должности, которые включены в соответствующий перечень, представляет при наличии оснований в рамках декларационной кампании в данные организации две справки (заполняются отдельно для каждой должности). Количество справок, представляемых в отношении членов семьи, не меняется. </w:t>
      </w:r>
    </w:p>
    <w:p w14:paraId="6BBB8B52">
      <w:pPr>
        <w:tabs>
          <w:tab w:val="left" w:pos="567"/>
        </w:tabs>
        <w:ind w:firstLine="567"/>
        <w:rPr>
          <w:rFonts w:ascii="Times New Roman" w:hAnsi="Times New Roman"/>
          <w:sz w:val="28"/>
          <w:szCs w:val="28"/>
        </w:rPr>
      </w:pPr>
      <w:r>
        <w:rPr>
          <w:rFonts w:ascii="Times New Roman" w:hAnsi="Times New Roman"/>
          <w:sz w:val="28"/>
          <w:szCs w:val="28"/>
        </w:rPr>
        <w:t>Члены Совета федеральной территории "Сириус" при наличии оснований в рамках декларационной кампании представляют справки в качестве лиц, замещающих государственные должности Российской Федерации, а также в качестве лица, замещающего иную публично-правовую должность (если применимо) (см., например, часть 9 статьи 12 Федерального закона от 22 декабря 2020 г. № 437-ФЗ "О федеральной территории "Сириус").</w:t>
      </w:r>
    </w:p>
    <w:p w14:paraId="14DCB01E">
      <w:pPr>
        <w:tabs>
          <w:tab w:val="left" w:pos="567"/>
        </w:tabs>
        <w:ind w:firstLine="567"/>
        <w:rPr>
          <w:rFonts w:ascii="Times New Roman" w:hAnsi="Times New Roman"/>
          <w:sz w:val="28"/>
          <w:szCs w:val="28"/>
        </w:rPr>
      </w:pPr>
      <w:r>
        <w:rPr>
          <w:rFonts w:ascii="Times New Roman" w:hAnsi="Times New Roman"/>
          <w:sz w:val="28"/>
          <w:szCs w:val="28"/>
        </w:rPr>
        <w:t>Депутат муниципального образования, обладающий, например, статусом депутата муниципального района и соответствующего городского поселения, при наличии оснований в рамках декларационной кампании может представить одну справку, на титульном листе которой укажет обе замещаемые муниципальные должности (и иные должности при необходимости), в случае, если такой порядок установлен соответствующим нормативным правовым актом субъекта Российской Федерации.</w:t>
      </w:r>
    </w:p>
    <w:p w14:paraId="715D34F4">
      <w:pPr>
        <w:pStyle w:val="3"/>
      </w:pPr>
      <w:bookmarkStart w:id="16" w:name="_Toc225936060"/>
      <w:r>
        <w:t>Определение круга лиц (членов семьи), в отношении которых необходимо представить Сведения</w:t>
      </w:r>
      <w:bookmarkEnd w:id="16"/>
    </w:p>
    <w:p w14:paraId="1FC56E7A">
      <w:pPr>
        <w:pStyle w:val="193"/>
        <w:numPr>
          <w:ilvl w:val="0"/>
          <w:numId w:val="1"/>
        </w:numPr>
        <w:tabs>
          <w:tab w:val="left" w:pos="567"/>
          <w:tab w:val="left" w:pos="1276"/>
        </w:tabs>
        <w:ind w:left="0" w:firstLine="567"/>
        <w:rPr>
          <w:rFonts w:ascii="Times New Roman" w:hAnsi="Times New Roman"/>
          <w:sz w:val="28"/>
          <w:szCs w:val="28"/>
        </w:rPr>
      </w:pPr>
      <w:r>
        <w:rPr>
          <w:rFonts w:ascii="Times New Roman" w:hAnsi="Times New Roman"/>
          <w:sz w:val="28"/>
          <w:szCs w:val="28"/>
        </w:rPr>
        <w:t>Сведения представляются с учетом семейного положения, в котором находился гражданин, служащий (работник) по состоянию на отчетную дату.</w:t>
      </w:r>
    </w:p>
    <w:p w14:paraId="742BFF48">
      <w:pPr>
        <w:pStyle w:val="4"/>
      </w:pPr>
      <w:bookmarkStart w:id="17" w:name="_Toc225936061"/>
      <w:r>
        <w:t>Супруги</w:t>
      </w:r>
      <w:bookmarkEnd w:id="17"/>
    </w:p>
    <w:p w14:paraId="56ED5980">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 xml:space="preserve">При представлении Сведений в отношении супруги (супруга) следует учитывать положения статей 10 "Заключение брака" и 25 "Момент прекращения брака при его расторжении" Семейного кодекса Российской Федерации. </w:t>
      </w:r>
    </w:p>
    <w:p w14:paraId="6A8F7683">
      <w:pPr>
        <w:pStyle w:val="193"/>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Согласно статье 10 Семейного кодекса Российской Федерации права и обязанности супругов возникают со дня государственной регистрации заключения брака в органах записи актов гражданского состояния.</w:t>
      </w:r>
    </w:p>
    <w:p w14:paraId="1CC278D4">
      <w:pPr>
        <w:tabs>
          <w:tab w:val="left" w:pos="567"/>
        </w:tabs>
        <w:ind w:firstLine="567"/>
        <w:rPr>
          <w:rFonts w:ascii="Times New Roman" w:hAnsi="Times New Roman"/>
          <w:sz w:val="28"/>
          <w:szCs w:val="28"/>
        </w:rPr>
      </w:pPr>
      <w:r>
        <w:rPr>
          <w:rFonts w:ascii="Times New Roman" w:hAnsi="Times New Roman"/>
          <w:sz w:val="28"/>
          <w:szCs w:val="28"/>
        </w:rPr>
        <w:t>Перечень ситуаций и рекомендуемые действия (таблица № 1):</w:t>
      </w:r>
    </w:p>
    <w:p w14:paraId="6BA20C71">
      <w:pPr>
        <w:ind w:firstLine="851"/>
        <w:rPr>
          <w:rFonts w:ascii="Times New Roman" w:hAnsi="Times New Roman"/>
          <w:sz w:val="28"/>
          <w:szCs w:val="28"/>
        </w:rPr>
      </w:pPr>
    </w:p>
    <w:tbl>
      <w:tblPr>
        <w:tblStyle w:val="12"/>
        <w:tblW w:w="103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9"/>
        <w:gridCol w:w="7229"/>
      </w:tblGrid>
      <w:tr w14:paraId="7F682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8" w:type="dxa"/>
            <w:gridSpan w:val="2"/>
            <w:shd w:val="clear" w:color="auto" w:fill="auto"/>
          </w:tcPr>
          <w:p w14:paraId="42C44A6E">
            <w:pPr>
              <w:ind w:firstLine="0"/>
              <w:rPr>
                <w:rFonts w:ascii="Times New Roman" w:hAnsi="Times New Roman"/>
                <w:sz w:val="28"/>
                <w:szCs w:val="28"/>
              </w:rPr>
            </w:pPr>
            <w:r>
              <w:rPr>
                <w:rFonts w:ascii="Times New Roman" w:hAnsi="Times New Roman"/>
                <w:sz w:val="28"/>
                <w:szCs w:val="28"/>
              </w:rPr>
              <w:t>Пример: служащий (работник) представляет Сведения в 2026 году (за отчетный 2025 год)</w:t>
            </w:r>
          </w:p>
        </w:tc>
      </w:tr>
      <w:tr w14:paraId="74996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auto"/>
          </w:tcPr>
          <w:p w14:paraId="5AFB131C">
            <w:pPr>
              <w:ind w:firstLine="0"/>
              <w:jc w:val="left"/>
              <w:rPr>
                <w:rFonts w:ascii="Times New Roman" w:hAnsi="Times New Roman"/>
                <w:sz w:val="28"/>
                <w:szCs w:val="28"/>
              </w:rPr>
            </w:pPr>
            <w:r>
              <w:rPr>
                <w:rFonts w:ascii="Times New Roman" w:hAnsi="Times New Roman"/>
                <w:sz w:val="28"/>
                <w:szCs w:val="28"/>
              </w:rPr>
              <w:t>Брак заключен в органах записи актов гражданского состояния (далее – ЗАГС) в ноябре 2025 года</w:t>
            </w:r>
          </w:p>
        </w:tc>
        <w:tc>
          <w:tcPr>
            <w:tcW w:w="7229" w:type="dxa"/>
            <w:shd w:val="clear" w:color="auto" w:fill="auto"/>
          </w:tcPr>
          <w:p w14:paraId="6D1909C9">
            <w:pPr>
              <w:ind w:firstLine="0"/>
              <w:rPr>
                <w:rFonts w:ascii="Times New Roman" w:hAnsi="Times New Roman"/>
                <w:sz w:val="28"/>
                <w:szCs w:val="28"/>
              </w:rPr>
            </w:pPr>
            <w:r>
              <w:rPr>
                <w:rFonts w:ascii="Times New Roman" w:hAnsi="Times New Roman"/>
                <w:sz w:val="28"/>
                <w:szCs w:val="28"/>
              </w:rPr>
              <w:t>Сведения в отношении супруги (супруга) представляются, поскольку по состоянию на отчетную дату (31 декабря 2025 года) служащий (работник) состоял в браке</w:t>
            </w:r>
          </w:p>
        </w:tc>
      </w:tr>
      <w:tr w14:paraId="20E85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shd w:val="clear" w:color="auto" w:fill="auto"/>
          </w:tcPr>
          <w:p w14:paraId="3BAF5024">
            <w:pPr>
              <w:ind w:firstLine="0"/>
              <w:rPr>
                <w:rFonts w:ascii="Times New Roman" w:hAnsi="Times New Roman"/>
                <w:sz w:val="28"/>
                <w:szCs w:val="28"/>
              </w:rPr>
            </w:pPr>
            <w:r>
              <w:rPr>
                <w:rFonts w:ascii="Times New Roman" w:hAnsi="Times New Roman"/>
                <w:sz w:val="28"/>
                <w:szCs w:val="28"/>
              </w:rPr>
              <w:t>Брак заключен в ЗАГСе в марте 2026 года</w:t>
            </w:r>
          </w:p>
        </w:tc>
        <w:tc>
          <w:tcPr>
            <w:tcW w:w="7229" w:type="dxa"/>
            <w:shd w:val="clear" w:color="auto" w:fill="auto"/>
          </w:tcPr>
          <w:p w14:paraId="4FA2501E">
            <w:pPr>
              <w:ind w:firstLine="0"/>
              <w:rPr>
                <w:rFonts w:ascii="Times New Roman" w:hAnsi="Times New Roman"/>
                <w:sz w:val="28"/>
                <w:szCs w:val="28"/>
              </w:rPr>
            </w:pPr>
            <w:r>
              <w:rPr>
                <w:rFonts w:ascii="Times New Roman" w:hAnsi="Times New Roman"/>
                <w:sz w:val="28"/>
                <w:szCs w:val="28"/>
              </w:rPr>
              <w:t xml:space="preserve">Сведения в отношении супруги (супруга) </w:t>
            </w:r>
            <w:r>
              <w:rPr>
                <w:rFonts w:ascii="Times New Roman" w:hAnsi="Times New Roman"/>
                <w:sz w:val="28"/>
                <w:szCs w:val="28"/>
              </w:rPr>
              <w:br w:type="textWrapping"/>
            </w:r>
            <w:r>
              <w:rPr>
                <w:rFonts w:ascii="Times New Roman" w:hAnsi="Times New Roman"/>
                <w:sz w:val="28"/>
                <w:szCs w:val="28"/>
              </w:rPr>
              <w:t xml:space="preserve">не представляются, поскольку по состоянию на отчетную дату (31 декабря 2025 года) служащий (работник) </w:t>
            </w:r>
            <w:r>
              <w:rPr>
                <w:rFonts w:ascii="Times New Roman" w:hAnsi="Times New Roman"/>
                <w:sz w:val="28"/>
                <w:szCs w:val="28"/>
              </w:rPr>
              <w:br w:type="textWrapping"/>
            </w:r>
            <w:r>
              <w:rPr>
                <w:rFonts w:ascii="Times New Roman" w:hAnsi="Times New Roman"/>
                <w:sz w:val="28"/>
                <w:szCs w:val="28"/>
              </w:rPr>
              <w:t xml:space="preserve">не состоял в браке </w:t>
            </w:r>
          </w:p>
        </w:tc>
      </w:tr>
      <w:tr w14:paraId="76766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8" w:type="dxa"/>
            <w:gridSpan w:val="2"/>
            <w:shd w:val="clear" w:color="auto" w:fill="auto"/>
          </w:tcPr>
          <w:p w14:paraId="0D43A0A4">
            <w:pPr>
              <w:ind w:left="34" w:firstLine="0"/>
              <w:rPr>
                <w:rFonts w:ascii="Times New Roman" w:hAnsi="Times New Roman"/>
                <w:sz w:val="28"/>
                <w:szCs w:val="28"/>
              </w:rPr>
            </w:pPr>
            <w:r>
              <w:rPr>
                <w:rFonts w:ascii="Times New Roman" w:hAnsi="Times New Roman"/>
                <w:sz w:val="28"/>
                <w:szCs w:val="28"/>
              </w:rPr>
              <w:t>Пример: гражданин в сентябре 2026 года представляет Сведения в связи с подачей документов для назначения на должность. Отчетной датой является 1 августа 2026 года</w:t>
            </w:r>
          </w:p>
        </w:tc>
      </w:tr>
      <w:tr w14:paraId="48318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119" w:type="dxa"/>
            <w:shd w:val="clear" w:color="auto" w:fill="auto"/>
          </w:tcPr>
          <w:p w14:paraId="3684BF75">
            <w:pPr>
              <w:ind w:left="34" w:firstLine="0"/>
              <w:rPr>
                <w:rFonts w:ascii="Times New Roman" w:hAnsi="Times New Roman"/>
                <w:sz w:val="28"/>
                <w:szCs w:val="28"/>
              </w:rPr>
            </w:pPr>
            <w:r>
              <w:rPr>
                <w:rFonts w:ascii="Times New Roman" w:hAnsi="Times New Roman"/>
                <w:sz w:val="28"/>
                <w:szCs w:val="28"/>
              </w:rPr>
              <w:t>Брак заключен 1 февраля 2026 года</w:t>
            </w:r>
          </w:p>
        </w:tc>
        <w:tc>
          <w:tcPr>
            <w:tcW w:w="7229" w:type="dxa"/>
            <w:shd w:val="clear" w:color="auto" w:fill="auto"/>
          </w:tcPr>
          <w:p w14:paraId="1DB1C725">
            <w:pPr>
              <w:ind w:left="34" w:firstLine="0"/>
              <w:rPr>
                <w:rFonts w:ascii="Times New Roman" w:hAnsi="Times New Roman"/>
                <w:sz w:val="28"/>
                <w:szCs w:val="28"/>
              </w:rPr>
            </w:pPr>
            <w:r>
              <w:rPr>
                <w:rFonts w:ascii="Times New Roman" w:hAnsi="Times New Roman"/>
                <w:sz w:val="28"/>
                <w:szCs w:val="28"/>
              </w:rPr>
              <w:t>Сведения в отношении супруги (супруга) представляются, поскольку по состоянию на отчетную дату (1 августа 2026 года) гражданин состоял в браке</w:t>
            </w:r>
          </w:p>
        </w:tc>
      </w:tr>
      <w:tr w14:paraId="1AF10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3119" w:type="dxa"/>
            <w:shd w:val="clear" w:color="auto" w:fill="auto"/>
          </w:tcPr>
          <w:p w14:paraId="305C6458">
            <w:pPr>
              <w:ind w:left="34" w:firstLine="0"/>
              <w:rPr>
                <w:rFonts w:ascii="Times New Roman" w:hAnsi="Times New Roman"/>
                <w:sz w:val="28"/>
                <w:szCs w:val="28"/>
              </w:rPr>
            </w:pPr>
            <w:r>
              <w:rPr>
                <w:rFonts w:ascii="Times New Roman" w:hAnsi="Times New Roman"/>
                <w:sz w:val="28"/>
                <w:szCs w:val="28"/>
              </w:rPr>
              <w:t>Брак заключен 2 августа 2026 года</w:t>
            </w:r>
          </w:p>
        </w:tc>
        <w:tc>
          <w:tcPr>
            <w:tcW w:w="7229" w:type="dxa"/>
            <w:shd w:val="clear" w:color="auto" w:fill="auto"/>
          </w:tcPr>
          <w:p w14:paraId="63825B2F">
            <w:pPr>
              <w:ind w:left="34" w:firstLine="0"/>
              <w:rPr>
                <w:rFonts w:ascii="Times New Roman" w:hAnsi="Times New Roman"/>
                <w:sz w:val="28"/>
                <w:szCs w:val="28"/>
              </w:rPr>
            </w:pPr>
            <w:r>
              <w:rPr>
                <w:rFonts w:ascii="Times New Roman" w:hAnsi="Times New Roman"/>
                <w:sz w:val="28"/>
                <w:szCs w:val="28"/>
              </w:rPr>
              <w:t xml:space="preserve">Сведения в отношении супруги (супруга) </w:t>
            </w:r>
            <w:r>
              <w:rPr>
                <w:rFonts w:ascii="Times New Roman" w:hAnsi="Times New Roman"/>
                <w:sz w:val="28"/>
                <w:szCs w:val="28"/>
              </w:rPr>
              <w:br w:type="textWrapping"/>
            </w:r>
            <w:r>
              <w:rPr>
                <w:rFonts w:ascii="Times New Roman" w:hAnsi="Times New Roman"/>
                <w:sz w:val="28"/>
                <w:szCs w:val="28"/>
              </w:rPr>
              <w:t>не представляются, поскольку по состоянию на отчетную дату (1 августа 2026 года) гражданин еще не состоял в браке</w:t>
            </w:r>
          </w:p>
        </w:tc>
      </w:tr>
    </w:tbl>
    <w:p w14:paraId="2B428D3B">
      <w:pPr>
        <w:pStyle w:val="193"/>
        <w:tabs>
          <w:tab w:val="left" w:pos="1134"/>
        </w:tabs>
        <w:ind w:left="709" w:firstLine="851"/>
        <w:rPr>
          <w:rFonts w:ascii="Times New Roman" w:hAnsi="Times New Roman"/>
          <w:sz w:val="28"/>
          <w:szCs w:val="28"/>
        </w:rPr>
      </w:pPr>
    </w:p>
    <w:p w14:paraId="3330D18C">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Согласно статье 25 Семейного кодекса Российской Федерации брак, расторгаемый в органах записи актов гражданского состояния, прекращается со дня государственной регистрации расторжения брака в книге регистрации актов гражданского состояния, а при расторжении брака в суде – со дня вступления решения суда в законную силу (а не в день принятия такого решения).</w:t>
      </w:r>
    </w:p>
    <w:p w14:paraId="72E3BBC7">
      <w:pPr>
        <w:tabs>
          <w:tab w:val="left" w:pos="567"/>
        </w:tabs>
        <w:ind w:firstLine="567"/>
        <w:rPr>
          <w:rFonts w:ascii="Times New Roman" w:hAnsi="Times New Roman"/>
          <w:sz w:val="28"/>
          <w:szCs w:val="28"/>
        </w:rPr>
      </w:pPr>
      <w:r>
        <w:rPr>
          <w:rFonts w:ascii="Times New Roman" w:hAnsi="Times New Roman"/>
          <w:sz w:val="28"/>
          <w:szCs w:val="28"/>
        </w:rPr>
        <w:t>Перечень ситуаций и рекомендуемые действия (таблица № 2)</w:t>
      </w:r>
    </w:p>
    <w:p w14:paraId="25A7ABEB">
      <w:pPr>
        <w:ind w:firstLine="851"/>
        <w:rPr>
          <w:rFonts w:ascii="Times New Roman" w:hAnsi="Times New Roman"/>
          <w:sz w:val="28"/>
          <w:szCs w:val="28"/>
        </w:rPr>
      </w:pPr>
    </w:p>
    <w:tbl>
      <w:tblPr>
        <w:tblStyle w:val="12"/>
        <w:tblW w:w="103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7"/>
        <w:gridCol w:w="7201"/>
      </w:tblGrid>
      <w:tr w14:paraId="09F2F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348" w:type="dxa"/>
            <w:gridSpan w:val="2"/>
          </w:tcPr>
          <w:p w14:paraId="2C7B1C21">
            <w:pPr>
              <w:ind w:firstLine="0"/>
              <w:rPr>
                <w:rFonts w:ascii="Times New Roman" w:hAnsi="Times New Roman"/>
                <w:sz w:val="28"/>
                <w:szCs w:val="28"/>
              </w:rPr>
            </w:pPr>
            <w:r>
              <w:rPr>
                <w:rFonts w:ascii="Times New Roman" w:hAnsi="Times New Roman"/>
                <w:sz w:val="28"/>
                <w:szCs w:val="28"/>
              </w:rPr>
              <w:t>Пример: служащий (работник) представляет Сведения в 2026 году (за отчетный 2025 год)</w:t>
            </w:r>
          </w:p>
        </w:tc>
      </w:tr>
      <w:tr w14:paraId="42AAE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47" w:type="dxa"/>
          </w:tcPr>
          <w:p w14:paraId="49B86A93">
            <w:pPr>
              <w:ind w:firstLine="0"/>
              <w:rPr>
                <w:rFonts w:ascii="Times New Roman" w:hAnsi="Times New Roman"/>
                <w:sz w:val="28"/>
                <w:szCs w:val="28"/>
              </w:rPr>
            </w:pPr>
            <w:r>
              <w:rPr>
                <w:rFonts w:ascii="Times New Roman" w:hAnsi="Times New Roman"/>
                <w:sz w:val="28"/>
                <w:szCs w:val="28"/>
              </w:rPr>
              <w:t>Брак был расторгнут в ЗАГСе в ноябре 2025 года</w:t>
            </w:r>
          </w:p>
        </w:tc>
        <w:tc>
          <w:tcPr>
            <w:tcW w:w="7201" w:type="dxa"/>
          </w:tcPr>
          <w:p w14:paraId="42DD6650">
            <w:pPr>
              <w:ind w:firstLine="0"/>
              <w:rPr>
                <w:rFonts w:ascii="Times New Roman" w:hAnsi="Times New Roman"/>
                <w:sz w:val="28"/>
                <w:szCs w:val="28"/>
              </w:rPr>
            </w:pPr>
            <w:r>
              <w:rPr>
                <w:rFonts w:ascii="Times New Roman" w:hAnsi="Times New Roman"/>
                <w:sz w:val="28"/>
                <w:szCs w:val="28"/>
              </w:rPr>
              <w:t>Сведения в отношении бывшей супруги (бывшего супруга) не представляются, поскольку по состоянию на отчетную дату (31 декабря 2025 года) служащий (работник) не состоял в браке</w:t>
            </w:r>
          </w:p>
        </w:tc>
      </w:tr>
      <w:tr w14:paraId="3082C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47" w:type="dxa"/>
          </w:tcPr>
          <w:p w14:paraId="32753412">
            <w:pPr>
              <w:ind w:firstLine="0"/>
              <w:rPr>
                <w:rFonts w:ascii="Times New Roman" w:hAnsi="Times New Roman"/>
                <w:sz w:val="28"/>
                <w:szCs w:val="28"/>
              </w:rPr>
            </w:pPr>
            <w:r>
              <w:rPr>
                <w:rFonts w:ascii="Times New Roman" w:hAnsi="Times New Roman"/>
                <w:sz w:val="28"/>
                <w:szCs w:val="28"/>
              </w:rPr>
              <w:t>Окончательное решение о расторжении брака было принято судом 12 декабря 2025 года и вступило в законную силу 12 января 2026 года</w:t>
            </w:r>
          </w:p>
        </w:tc>
        <w:tc>
          <w:tcPr>
            <w:tcW w:w="7201" w:type="dxa"/>
          </w:tcPr>
          <w:p w14:paraId="555B7420">
            <w:pPr>
              <w:ind w:firstLine="0"/>
              <w:rPr>
                <w:rFonts w:ascii="Times New Roman" w:hAnsi="Times New Roman"/>
                <w:sz w:val="28"/>
                <w:szCs w:val="28"/>
              </w:rPr>
            </w:pPr>
            <w:r>
              <w:rPr>
                <w:rFonts w:ascii="Times New Roman" w:hAnsi="Times New Roman"/>
                <w:sz w:val="28"/>
                <w:szCs w:val="28"/>
              </w:rPr>
              <w:t>Сведения в отношении бывшей супруги (бывшего супруга) представляются, поскольку решение о расторжении брака вступает в силу по истечении месяца со дня принятия решения суда в окончательной форме. В рассматриваемой ситуации решение о расторжении брака вступило в силу 12 января 2026 года. Таким образом, по состоянию на отчетную дату (31 декабря 2025 года) служащий (работник) считался состоявшим в браке</w:t>
            </w:r>
          </w:p>
        </w:tc>
      </w:tr>
      <w:tr w14:paraId="3A3C2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47" w:type="dxa"/>
          </w:tcPr>
          <w:p w14:paraId="23B71492">
            <w:pPr>
              <w:ind w:firstLine="0"/>
              <w:rPr>
                <w:rFonts w:ascii="Times New Roman" w:hAnsi="Times New Roman"/>
                <w:sz w:val="28"/>
                <w:szCs w:val="28"/>
              </w:rPr>
            </w:pPr>
            <w:r>
              <w:rPr>
                <w:rFonts w:ascii="Times New Roman" w:hAnsi="Times New Roman"/>
                <w:sz w:val="28"/>
                <w:szCs w:val="28"/>
              </w:rPr>
              <w:t xml:space="preserve">Брак был расторгнут в ЗАГСе в марте 2026 года </w:t>
            </w:r>
          </w:p>
        </w:tc>
        <w:tc>
          <w:tcPr>
            <w:tcW w:w="7201" w:type="dxa"/>
          </w:tcPr>
          <w:p w14:paraId="419CDFA2">
            <w:pPr>
              <w:ind w:firstLine="0"/>
              <w:rPr>
                <w:rFonts w:ascii="Times New Roman" w:hAnsi="Times New Roman"/>
                <w:sz w:val="28"/>
                <w:szCs w:val="28"/>
              </w:rPr>
            </w:pPr>
            <w:r>
              <w:rPr>
                <w:rFonts w:ascii="Times New Roman" w:hAnsi="Times New Roman"/>
                <w:sz w:val="28"/>
                <w:szCs w:val="28"/>
              </w:rPr>
              <w:t>Сведения в отношении бывшей супруги (бывшего супруга) представляются, поскольку по состоянию на отчетную дату (31 декабря 2025 года) служащий (работник) состоял в браке</w:t>
            </w:r>
          </w:p>
        </w:tc>
      </w:tr>
      <w:tr w14:paraId="05825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348" w:type="dxa"/>
            <w:gridSpan w:val="2"/>
          </w:tcPr>
          <w:p w14:paraId="30714C21">
            <w:pPr>
              <w:ind w:firstLine="0"/>
              <w:rPr>
                <w:rFonts w:ascii="Times New Roman" w:hAnsi="Times New Roman"/>
                <w:sz w:val="28"/>
                <w:szCs w:val="28"/>
              </w:rPr>
            </w:pPr>
            <w:r>
              <w:rPr>
                <w:rFonts w:ascii="Times New Roman" w:hAnsi="Times New Roman"/>
                <w:sz w:val="28"/>
                <w:szCs w:val="28"/>
              </w:rPr>
              <w:t>Пример: гражданин в сентябре 2026 года представляет Сведения в связи с подачей документов для назначения на должность. Отчетной датой является 1 августа 2026 года</w:t>
            </w:r>
          </w:p>
        </w:tc>
      </w:tr>
      <w:tr w14:paraId="5D56B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47" w:type="dxa"/>
          </w:tcPr>
          <w:p w14:paraId="74AE1A84">
            <w:pPr>
              <w:ind w:firstLine="0"/>
              <w:rPr>
                <w:rFonts w:ascii="Times New Roman" w:hAnsi="Times New Roman"/>
                <w:sz w:val="28"/>
                <w:szCs w:val="28"/>
              </w:rPr>
            </w:pPr>
            <w:r>
              <w:rPr>
                <w:rFonts w:ascii="Times New Roman" w:hAnsi="Times New Roman"/>
                <w:sz w:val="28"/>
                <w:szCs w:val="28"/>
              </w:rPr>
              <w:t>Брак был расторгнут в ЗАГСе 1 июля 2026 года</w:t>
            </w:r>
          </w:p>
        </w:tc>
        <w:tc>
          <w:tcPr>
            <w:tcW w:w="7201" w:type="dxa"/>
          </w:tcPr>
          <w:p w14:paraId="563C2B52">
            <w:pPr>
              <w:ind w:firstLine="0"/>
              <w:rPr>
                <w:rFonts w:ascii="Times New Roman" w:hAnsi="Times New Roman"/>
                <w:sz w:val="28"/>
                <w:szCs w:val="28"/>
              </w:rPr>
            </w:pPr>
            <w:r>
              <w:rPr>
                <w:rFonts w:ascii="Times New Roman" w:hAnsi="Times New Roman"/>
                <w:sz w:val="28"/>
                <w:szCs w:val="28"/>
              </w:rPr>
              <w:t>Сведения в отношении бывшей супруги (бывшего супруга) не представляются, поскольку по состоянию на отчетную дату (1 августа 2026 года) гражданин не состоял в браке</w:t>
            </w:r>
          </w:p>
        </w:tc>
      </w:tr>
      <w:tr w14:paraId="3ECB9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47" w:type="dxa"/>
          </w:tcPr>
          <w:p w14:paraId="6372B7CC">
            <w:pPr>
              <w:ind w:firstLine="0"/>
              <w:rPr>
                <w:rFonts w:ascii="Times New Roman" w:hAnsi="Times New Roman"/>
                <w:sz w:val="28"/>
                <w:szCs w:val="28"/>
              </w:rPr>
            </w:pPr>
            <w:r>
              <w:rPr>
                <w:rFonts w:ascii="Times New Roman" w:hAnsi="Times New Roman"/>
                <w:sz w:val="28"/>
                <w:szCs w:val="28"/>
              </w:rPr>
              <w:t xml:space="preserve">Брак был расторгнут в ЗАГСе 2 августа 2026 года </w:t>
            </w:r>
          </w:p>
        </w:tc>
        <w:tc>
          <w:tcPr>
            <w:tcW w:w="7201" w:type="dxa"/>
          </w:tcPr>
          <w:p w14:paraId="43020020">
            <w:pPr>
              <w:ind w:firstLine="0"/>
              <w:rPr>
                <w:rFonts w:ascii="Times New Roman" w:hAnsi="Times New Roman"/>
                <w:sz w:val="28"/>
                <w:szCs w:val="28"/>
              </w:rPr>
            </w:pPr>
            <w:r>
              <w:rPr>
                <w:rFonts w:ascii="Times New Roman" w:hAnsi="Times New Roman"/>
                <w:sz w:val="28"/>
                <w:szCs w:val="28"/>
              </w:rPr>
              <w:t>Сведения в отношении бывшей супруги (бывшего супруга) представляются, поскольку по состоянию на отчетную дату (1 августа 2026 года) гражданин состоял в браке</w:t>
            </w:r>
          </w:p>
        </w:tc>
      </w:tr>
      <w:tr w14:paraId="6BC84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47" w:type="dxa"/>
          </w:tcPr>
          <w:p w14:paraId="248C43EE">
            <w:pPr>
              <w:ind w:firstLine="0"/>
              <w:rPr>
                <w:rFonts w:ascii="Times New Roman" w:hAnsi="Times New Roman"/>
                <w:sz w:val="28"/>
                <w:szCs w:val="28"/>
              </w:rPr>
            </w:pPr>
            <w:r>
              <w:rPr>
                <w:rFonts w:ascii="Times New Roman" w:hAnsi="Times New Roman"/>
                <w:sz w:val="28"/>
                <w:szCs w:val="28"/>
              </w:rPr>
              <w:t>Окончательное решение о расторжении брака было принято судом 4 июля 2026 года и вступило в законную силу 4 августа 2026 года</w:t>
            </w:r>
          </w:p>
        </w:tc>
        <w:tc>
          <w:tcPr>
            <w:tcW w:w="7201" w:type="dxa"/>
          </w:tcPr>
          <w:p w14:paraId="3416DA7A">
            <w:pPr>
              <w:ind w:firstLine="0"/>
              <w:rPr>
                <w:rFonts w:ascii="Times New Roman" w:hAnsi="Times New Roman"/>
                <w:sz w:val="28"/>
                <w:szCs w:val="28"/>
              </w:rPr>
            </w:pPr>
            <w:r>
              <w:rPr>
                <w:rFonts w:ascii="Times New Roman" w:hAnsi="Times New Roman"/>
                <w:sz w:val="28"/>
                <w:szCs w:val="28"/>
              </w:rPr>
              <w:t xml:space="preserve">Сведения в отношении бывшей супруги (бывшего супруга) представляются, поскольку решение о расторжении брака вступает в законную силу по истечении месяца со дня принятия решения суда в окончательной форме. В рассматриваемой ситуации решение о расторжении брака вступило в силу 4 августа 2026 года. Таким образом, по состоянию </w:t>
            </w:r>
            <w:r>
              <w:rPr>
                <w:rFonts w:ascii="Times New Roman" w:hAnsi="Times New Roman"/>
                <w:sz w:val="28"/>
                <w:szCs w:val="28"/>
              </w:rPr>
              <w:br w:type="textWrapping"/>
            </w:r>
            <w:r>
              <w:rPr>
                <w:rFonts w:ascii="Times New Roman" w:hAnsi="Times New Roman"/>
                <w:sz w:val="28"/>
                <w:szCs w:val="28"/>
              </w:rPr>
              <w:t>на отчетную дату (1 августа 2026 года) гражданин считался состоявшим в браке</w:t>
            </w:r>
          </w:p>
        </w:tc>
      </w:tr>
    </w:tbl>
    <w:p w14:paraId="7E1B0888">
      <w:pPr>
        <w:ind w:firstLine="567"/>
        <w:rPr>
          <w:rFonts w:ascii="Times New Roman" w:hAnsi="Times New Roman"/>
          <w:b/>
          <w:sz w:val="28"/>
          <w:szCs w:val="28"/>
        </w:rPr>
      </w:pPr>
    </w:p>
    <w:p w14:paraId="6E233A05">
      <w:pPr>
        <w:pStyle w:val="193"/>
        <w:numPr>
          <w:ilvl w:val="0"/>
          <w:numId w:val="1"/>
        </w:numPr>
        <w:tabs>
          <w:tab w:val="left" w:pos="1134"/>
        </w:tabs>
        <w:ind w:left="0" w:firstLine="567"/>
        <w:rPr>
          <w:rFonts w:ascii="Times New Roman" w:hAnsi="Times New Roman"/>
          <w:sz w:val="28"/>
          <w:szCs w:val="28"/>
        </w:rPr>
      </w:pPr>
      <w:r>
        <w:rPr>
          <w:rFonts w:ascii="Times New Roman" w:hAnsi="Times New Roman"/>
          <w:sz w:val="28"/>
          <w:szCs w:val="28"/>
        </w:rPr>
        <w:t xml:space="preserve">Лица, обязанные представлять Сведения в отношении своих супруг (супругов), не представляют такие Сведения, если: </w:t>
      </w:r>
    </w:p>
    <w:p w14:paraId="5875D251">
      <w:pPr>
        <w:pStyle w:val="193"/>
        <w:tabs>
          <w:tab w:val="left" w:pos="1134"/>
        </w:tabs>
        <w:ind w:left="0" w:firstLine="567"/>
        <w:rPr>
          <w:rFonts w:ascii="Times New Roman" w:hAnsi="Times New Roman"/>
          <w:sz w:val="28"/>
          <w:szCs w:val="28"/>
        </w:rPr>
      </w:pPr>
      <w:r>
        <w:rPr>
          <w:rFonts w:ascii="Times New Roman" w:hAnsi="Times New Roman"/>
          <w:sz w:val="28"/>
          <w:szCs w:val="28"/>
        </w:rPr>
        <w:t xml:space="preserve">1) их супруги являются военнослужащими, сотрудниками и лицами и принимают (принимали) участие в специальной военной операции или непосредственно выполняют (выполняли)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 </w:t>
      </w:r>
    </w:p>
    <w:p w14:paraId="3B125B0C">
      <w:pPr>
        <w:pStyle w:val="193"/>
        <w:tabs>
          <w:tab w:val="left" w:pos="1134"/>
        </w:tabs>
        <w:ind w:left="0" w:firstLine="567"/>
        <w:rPr>
          <w:rFonts w:ascii="Times New Roman" w:hAnsi="Times New Roman"/>
          <w:sz w:val="28"/>
          <w:szCs w:val="28"/>
        </w:rPr>
      </w:pPr>
      <w:r>
        <w:rPr>
          <w:rFonts w:ascii="Times New Roman" w:hAnsi="Times New Roman"/>
          <w:sz w:val="28"/>
          <w:szCs w:val="28"/>
        </w:rPr>
        <w:t xml:space="preserve">2) их супруги направлены (командированы) для выполнения задач на территориях Донецкой Народной Республики, Луганской Народной Республики, Запорожской области и Херсонской области и выполняют такие задачи; </w:t>
      </w:r>
    </w:p>
    <w:p w14:paraId="4A3BAB3C">
      <w:pPr>
        <w:pStyle w:val="193"/>
        <w:tabs>
          <w:tab w:val="left" w:pos="1134"/>
        </w:tabs>
        <w:ind w:left="0" w:firstLine="567"/>
        <w:rPr>
          <w:rFonts w:ascii="Times New Roman" w:hAnsi="Times New Roman"/>
          <w:sz w:val="28"/>
          <w:szCs w:val="28"/>
        </w:rPr>
      </w:pPr>
      <w:r>
        <w:rPr>
          <w:rFonts w:ascii="Times New Roman" w:hAnsi="Times New Roman"/>
          <w:sz w:val="28"/>
          <w:szCs w:val="28"/>
        </w:rPr>
        <w:t xml:space="preserve">3) их супруги призваны на военную службу по мобилизации в Вооруженные Силы Российской Федерации; </w:t>
      </w:r>
    </w:p>
    <w:p w14:paraId="6E24E866">
      <w:pPr>
        <w:pStyle w:val="193"/>
        <w:tabs>
          <w:tab w:val="left" w:pos="1134"/>
        </w:tabs>
        <w:ind w:left="0" w:firstLine="567"/>
        <w:rPr>
          <w:rFonts w:ascii="Times New Roman" w:hAnsi="Times New Roman"/>
          <w:sz w:val="28"/>
          <w:szCs w:val="28"/>
        </w:rPr>
      </w:pPr>
      <w:r>
        <w:rPr>
          <w:rFonts w:ascii="Times New Roman" w:hAnsi="Times New Roman"/>
          <w:sz w:val="28"/>
          <w:szCs w:val="28"/>
        </w:rPr>
        <w:t xml:space="preserve">4) их супруги оказывают на основании заключенного ими контракта добровольное содействие в выполнении задач, возложенных на Вооруженные Силы Российской Федерации. </w:t>
      </w:r>
    </w:p>
    <w:p w14:paraId="62D2F4B1">
      <w:pPr>
        <w:pStyle w:val="193"/>
        <w:tabs>
          <w:tab w:val="left" w:pos="1134"/>
        </w:tabs>
        <w:ind w:left="0" w:firstLine="567"/>
        <w:rPr>
          <w:rFonts w:ascii="Times New Roman" w:hAnsi="Times New Roman"/>
          <w:sz w:val="28"/>
          <w:szCs w:val="28"/>
        </w:rPr>
      </w:pPr>
      <w:r>
        <w:rPr>
          <w:rFonts w:ascii="Times New Roman" w:hAnsi="Times New Roman"/>
          <w:sz w:val="28"/>
          <w:szCs w:val="28"/>
        </w:rPr>
        <w:t>В этом случае такими лицами могут быть представлены документы, подтверждающие обозначенный статус их супруг (супругов).</w:t>
      </w:r>
    </w:p>
    <w:p w14:paraId="1654260D">
      <w:pPr>
        <w:pStyle w:val="193"/>
        <w:tabs>
          <w:tab w:val="left" w:pos="1134"/>
        </w:tabs>
        <w:ind w:left="0" w:firstLine="567"/>
        <w:rPr>
          <w:rFonts w:ascii="Times New Roman" w:hAnsi="Times New Roman"/>
          <w:sz w:val="28"/>
          <w:szCs w:val="28"/>
        </w:rPr>
      </w:pPr>
      <w:r>
        <w:rPr>
          <w:rFonts w:ascii="Times New Roman" w:hAnsi="Times New Roman"/>
          <w:sz w:val="28"/>
          <w:szCs w:val="28"/>
        </w:rPr>
        <w:t>Дополнительные пояснения содержатся в Инструктивно-методических материалах по вопросам реализации Указа Президента Российской Федерации от 29 декабря 2022 г. № 968 "Об особенностях исполнения обязанностей,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 (</w:t>
      </w:r>
      <w:r>
        <w:fldChar w:fldCharType="begin"/>
      </w:r>
      <w:r>
        <w:instrText xml:space="preserve"> HYPERLINK "https://mintrud.gov.ru/ministry/programms/anticorruption/9/23" </w:instrText>
      </w:r>
      <w:r>
        <w:fldChar w:fldCharType="separate"/>
      </w:r>
      <w:r>
        <w:rPr>
          <w:rStyle w:val="17"/>
          <w:rFonts w:ascii="Times New Roman" w:hAnsi="Times New Roman"/>
          <w:sz w:val="28"/>
          <w:szCs w:val="28"/>
        </w:rPr>
        <w:t>https://mintrud.gov.ru/ministry/programms/anticorruption/9/23</w:t>
      </w:r>
      <w:r>
        <w:rPr>
          <w:rStyle w:val="17"/>
          <w:rFonts w:ascii="Times New Roman" w:hAnsi="Times New Roman"/>
          <w:sz w:val="28"/>
          <w:szCs w:val="28"/>
        </w:rPr>
        <w:fldChar w:fldCharType="end"/>
      </w:r>
      <w:r>
        <w:rPr>
          <w:rFonts w:ascii="Times New Roman" w:hAnsi="Times New Roman"/>
          <w:sz w:val="28"/>
          <w:szCs w:val="28"/>
        </w:rPr>
        <w:t>).</w:t>
      </w:r>
    </w:p>
    <w:p w14:paraId="7FA8C4BF">
      <w:pPr>
        <w:pStyle w:val="193"/>
        <w:ind w:left="0" w:firstLine="567"/>
        <w:outlineLvl w:val="2"/>
        <w:rPr>
          <w:rFonts w:ascii="Times New Roman" w:hAnsi="Times New Roman"/>
          <w:b/>
          <w:sz w:val="28"/>
          <w:szCs w:val="28"/>
        </w:rPr>
      </w:pPr>
      <w:bookmarkStart w:id="18" w:name="_Toc225936062"/>
      <w:r>
        <w:rPr>
          <w:rFonts w:ascii="Times New Roman" w:hAnsi="Times New Roman"/>
          <w:b/>
          <w:sz w:val="28"/>
          <w:szCs w:val="28"/>
        </w:rPr>
        <w:t>Несовершеннолетние дети</w:t>
      </w:r>
      <w:bookmarkEnd w:id="18"/>
    </w:p>
    <w:p w14:paraId="0890BE8A">
      <w:pPr>
        <w:pStyle w:val="193"/>
        <w:numPr>
          <w:ilvl w:val="0"/>
          <w:numId w:val="1"/>
        </w:numPr>
        <w:tabs>
          <w:tab w:val="left" w:pos="1134"/>
        </w:tabs>
        <w:ind w:left="0" w:firstLine="567"/>
        <w:rPr>
          <w:rFonts w:ascii="Times New Roman" w:hAnsi="Times New Roman"/>
          <w:sz w:val="28"/>
          <w:szCs w:val="28"/>
        </w:rPr>
      </w:pPr>
      <w:r>
        <w:rPr>
          <w:rFonts w:ascii="Times New Roman" w:hAnsi="Times New Roman"/>
          <w:sz w:val="28"/>
          <w:szCs w:val="28"/>
        </w:rPr>
        <w:t>Статья 60 Конституции Российской Федерации устанавливает, что гражданин Российской Федерации может самостоятельно осуществлять в полном объеме свои права и обязанности с 18 лет. Таким образом, ребенок считается совершеннолетним при достижении им возраста 18 лет.</w:t>
      </w:r>
    </w:p>
    <w:p w14:paraId="33EA5E05">
      <w:pPr>
        <w:pStyle w:val="193"/>
        <w:numPr>
          <w:ilvl w:val="0"/>
          <w:numId w:val="1"/>
        </w:numPr>
        <w:tabs>
          <w:tab w:val="left" w:pos="1134"/>
        </w:tabs>
        <w:ind w:left="0" w:firstLine="567"/>
        <w:rPr>
          <w:rFonts w:ascii="Times New Roman" w:hAnsi="Times New Roman"/>
          <w:sz w:val="28"/>
          <w:szCs w:val="28"/>
        </w:rPr>
      </w:pPr>
      <w:r>
        <w:rPr>
          <w:rFonts w:ascii="Times New Roman" w:hAnsi="Times New Roman"/>
          <w:sz w:val="28"/>
          <w:szCs w:val="28"/>
        </w:rPr>
        <w:t xml:space="preserve">При представлении Сведений в отношении несовершеннолетних детей следует учитывать, что лицо считается достигшим определенного возраста на следующий день после дня рождения. </w:t>
      </w:r>
    </w:p>
    <w:p w14:paraId="5D8D205A">
      <w:pPr>
        <w:ind w:firstLine="567"/>
        <w:rPr>
          <w:rFonts w:ascii="Times New Roman" w:hAnsi="Times New Roman"/>
          <w:sz w:val="28"/>
          <w:szCs w:val="28"/>
        </w:rPr>
      </w:pPr>
      <w:r>
        <w:rPr>
          <w:rFonts w:ascii="Times New Roman" w:hAnsi="Times New Roman"/>
          <w:sz w:val="28"/>
          <w:szCs w:val="28"/>
        </w:rPr>
        <w:t>Перечень ситуаций и рекомендуемые действия (таблица № 3):</w:t>
      </w:r>
    </w:p>
    <w:p w14:paraId="0A1F07B2">
      <w:pPr>
        <w:ind w:firstLine="851"/>
        <w:rPr>
          <w:rFonts w:ascii="Times New Roman" w:hAnsi="Times New Roman"/>
          <w:sz w:val="28"/>
          <w:szCs w:val="28"/>
        </w:rPr>
      </w:pPr>
    </w:p>
    <w:tbl>
      <w:tblPr>
        <w:tblStyle w:val="12"/>
        <w:tblW w:w="103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9"/>
        <w:gridCol w:w="7229"/>
      </w:tblGrid>
      <w:tr w14:paraId="665AF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348" w:type="dxa"/>
            <w:gridSpan w:val="2"/>
          </w:tcPr>
          <w:p w14:paraId="6376F9D3">
            <w:pPr>
              <w:ind w:firstLine="0"/>
              <w:rPr>
                <w:rFonts w:ascii="Times New Roman" w:hAnsi="Times New Roman"/>
                <w:sz w:val="28"/>
                <w:szCs w:val="28"/>
              </w:rPr>
            </w:pPr>
            <w:r>
              <w:rPr>
                <w:rFonts w:ascii="Times New Roman" w:hAnsi="Times New Roman"/>
                <w:sz w:val="28"/>
                <w:szCs w:val="28"/>
              </w:rPr>
              <w:t>Пример: служащий (работник) представляет Сведения в 2026 году (за отчетный 2025 год)</w:t>
            </w:r>
          </w:p>
        </w:tc>
      </w:tr>
      <w:tr w14:paraId="16AAA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19" w:type="dxa"/>
          </w:tcPr>
          <w:p w14:paraId="4B91D2B6">
            <w:pPr>
              <w:ind w:firstLine="0"/>
              <w:rPr>
                <w:rFonts w:ascii="Times New Roman" w:hAnsi="Times New Roman"/>
                <w:sz w:val="28"/>
                <w:szCs w:val="28"/>
              </w:rPr>
            </w:pPr>
            <w:r>
              <w:rPr>
                <w:rFonts w:ascii="Times New Roman" w:hAnsi="Times New Roman"/>
                <w:sz w:val="28"/>
                <w:szCs w:val="28"/>
              </w:rPr>
              <w:t>Дочери служащего (работника) 21 мая 2025 года исполнилось 18 лет</w:t>
            </w:r>
          </w:p>
        </w:tc>
        <w:tc>
          <w:tcPr>
            <w:tcW w:w="7229" w:type="dxa"/>
          </w:tcPr>
          <w:p w14:paraId="344D5B0C">
            <w:pPr>
              <w:ind w:firstLine="0"/>
              <w:rPr>
                <w:rFonts w:ascii="Times New Roman" w:hAnsi="Times New Roman"/>
                <w:sz w:val="28"/>
                <w:szCs w:val="28"/>
              </w:rPr>
            </w:pPr>
            <w:r>
              <w:rPr>
                <w:rFonts w:ascii="Times New Roman" w:hAnsi="Times New Roman"/>
                <w:sz w:val="28"/>
                <w:szCs w:val="28"/>
              </w:rPr>
              <w:t>Сведения в отношении дочери не представляются, поскольку по состоянию на отчетную дату (31 декабря 2025 года) дочери служащего (работника) уже исполнилось 18 лет, она являлась совершеннолетней</w:t>
            </w:r>
          </w:p>
        </w:tc>
      </w:tr>
      <w:tr w14:paraId="0341F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19" w:type="dxa"/>
          </w:tcPr>
          <w:p w14:paraId="2BE54EFF">
            <w:pPr>
              <w:ind w:firstLine="0"/>
              <w:rPr>
                <w:rFonts w:ascii="Times New Roman" w:hAnsi="Times New Roman"/>
                <w:sz w:val="28"/>
                <w:szCs w:val="28"/>
              </w:rPr>
            </w:pPr>
            <w:r>
              <w:rPr>
                <w:rFonts w:ascii="Times New Roman" w:hAnsi="Times New Roman"/>
                <w:sz w:val="28"/>
                <w:szCs w:val="28"/>
              </w:rPr>
              <w:t>Дочери служащего (работника) 30 декабря 2025 года исполнилось 18 лет</w:t>
            </w:r>
          </w:p>
        </w:tc>
        <w:tc>
          <w:tcPr>
            <w:tcW w:w="7229" w:type="dxa"/>
          </w:tcPr>
          <w:p w14:paraId="17145D0A">
            <w:pPr>
              <w:ind w:firstLine="0"/>
              <w:rPr>
                <w:rFonts w:ascii="Times New Roman" w:hAnsi="Times New Roman"/>
                <w:sz w:val="28"/>
                <w:szCs w:val="28"/>
              </w:rPr>
            </w:pPr>
            <w:r>
              <w:rPr>
                <w:rFonts w:ascii="Times New Roman" w:hAnsi="Times New Roman"/>
                <w:sz w:val="28"/>
                <w:szCs w:val="28"/>
              </w:rPr>
              <w:t>Сведения в отношении дочери не представляются, поскольку по состоянию на отчетную дату (31 декабря 2025 года) дочери служащего (работника) уже исполнилось 18 лет, она являлась совершеннолетней</w:t>
            </w:r>
          </w:p>
        </w:tc>
      </w:tr>
      <w:tr w14:paraId="664D2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19" w:type="dxa"/>
          </w:tcPr>
          <w:p w14:paraId="14DEF671">
            <w:pPr>
              <w:ind w:firstLine="0"/>
              <w:rPr>
                <w:rFonts w:ascii="Times New Roman" w:hAnsi="Times New Roman"/>
                <w:sz w:val="28"/>
                <w:szCs w:val="28"/>
              </w:rPr>
            </w:pPr>
            <w:r>
              <w:rPr>
                <w:rFonts w:ascii="Times New Roman" w:hAnsi="Times New Roman"/>
                <w:sz w:val="28"/>
                <w:szCs w:val="28"/>
              </w:rPr>
              <w:t>Дочери служащего (работника) 31 декабря 2025 года исполнилось 18 лет</w:t>
            </w:r>
          </w:p>
        </w:tc>
        <w:tc>
          <w:tcPr>
            <w:tcW w:w="7229" w:type="dxa"/>
          </w:tcPr>
          <w:p w14:paraId="48A11270">
            <w:pPr>
              <w:ind w:firstLine="0"/>
              <w:rPr>
                <w:rFonts w:ascii="Times New Roman" w:hAnsi="Times New Roman"/>
                <w:sz w:val="28"/>
                <w:szCs w:val="28"/>
              </w:rPr>
            </w:pPr>
            <w:r>
              <w:rPr>
                <w:rFonts w:ascii="Times New Roman" w:hAnsi="Times New Roman"/>
                <w:sz w:val="28"/>
                <w:szCs w:val="28"/>
              </w:rPr>
              <w:t xml:space="preserve">Сведения в отношении дочери представляются, поскольку дочь служащего (работника) считается достигшей возраста 18 лет на следующий день после дня рождения, то есть 1 января 2026 года. Таким образом, по состоянию </w:t>
            </w:r>
            <w:r>
              <w:rPr>
                <w:rFonts w:ascii="Times New Roman" w:hAnsi="Times New Roman"/>
                <w:sz w:val="28"/>
                <w:szCs w:val="28"/>
              </w:rPr>
              <w:br w:type="textWrapping"/>
            </w:r>
            <w:r>
              <w:rPr>
                <w:rFonts w:ascii="Times New Roman" w:hAnsi="Times New Roman"/>
                <w:sz w:val="28"/>
                <w:szCs w:val="28"/>
              </w:rPr>
              <w:t>на отчетную дату (31 декабря 2025 года) она еще являлась несовершеннолетней</w:t>
            </w:r>
          </w:p>
        </w:tc>
      </w:tr>
      <w:tr w14:paraId="1FB09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0348" w:type="dxa"/>
            <w:gridSpan w:val="2"/>
          </w:tcPr>
          <w:p w14:paraId="3889F609">
            <w:pPr>
              <w:ind w:firstLine="0"/>
              <w:rPr>
                <w:rFonts w:ascii="Times New Roman" w:hAnsi="Times New Roman"/>
                <w:sz w:val="28"/>
                <w:szCs w:val="28"/>
              </w:rPr>
            </w:pPr>
            <w:r>
              <w:rPr>
                <w:rFonts w:ascii="Times New Roman" w:hAnsi="Times New Roman"/>
                <w:sz w:val="28"/>
                <w:szCs w:val="28"/>
              </w:rPr>
              <w:t xml:space="preserve">Пример: гражданин представляет в сентябре 2026 года Сведения в связи </w:t>
            </w:r>
            <w:r>
              <w:rPr>
                <w:rFonts w:ascii="Times New Roman" w:hAnsi="Times New Roman"/>
                <w:sz w:val="28"/>
                <w:szCs w:val="28"/>
              </w:rPr>
              <w:br w:type="textWrapping"/>
            </w:r>
            <w:r>
              <w:rPr>
                <w:rFonts w:ascii="Times New Roman" w:hAnsi="Times New Roman"/>
                <w:sz w:val="28"/>
                <w:szCs w:val="28"/>
              </w:rPr>
              <w:t>с назначением на должность. Отчетной датой является 1 августа 2026 года</w:t>
            </w:r>
          </w:p>
        </w:tc>
      </w:tr>
      <w:tr w14:paraId="291E6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19" w:type="dxa"/>
          </w:tcPr>
          <w:p w14:paraId="54094D5A">
            <w:pPr>
              <w:ind w:firstLine="0"/>
              <w:rPr>
                <w:rFonts w:ascii="Times New Roman" w:hAnsi="Times New Roman"/>
                <w:sz w:val="28"/>
                <w:szCs w:val="28"/>
              </w:rPr>
            </w:pPr>
            <w:r>
              <w:rPr>
                <w:rFonts w:ascii="Times New Roman" w:hAnsi="Times New Roman"/>
                <w:sz w:val="28"/>
                <w:szCs w:val="28"/>
              </w:rPr>
              <w:t>Сыну гражданина 5 мая 2026 года исполнилось 18 лет</w:t>
            </w:r>
          </w:p>
        </w:tc>
        <w:tc>
          <w:tcPr>
            <w:tcW w:w="7229" w:type="dxa"/>
          </w:tcPr>
          <w:p w14:paraId="03E952E9">
            <w:pPr>
              <w:ind w:firstLine="0"/>
              <w:rPr>
                <w:rFonts w:ascii="Times New Roman" w:hAnsi="Times New Roman"/>
                <w:sz w:val="28"/>
                <w:szCs w:val="28"/>
              </w:rPr>
            </w:pPr>
            <w:r>
              <w:rPr>
                <w:rFonts w:ascii="Times New Roman" w:hAnsi="Times New Roman"/>
                <w:sz w:val="28"/>
                <w:szCs w:val="28"/>
              </w:rPr>
              <w:t xml:space="preserve">Сведения в отношении сына не представляются, поскольку он являлся совершеннолетним и по состоянию </w:t>
            </w:r>
            <w:r>
              <w:rPr>
                <w:rFonts w:ascii="Times New Roman" w:hAnsi="Times New Roman"/>
                <w:sz w:val="28"/>
                <w:szCs w:val="28"/>
              </w:rPr>
              <w:br w:type="textWrapping"/>
            </w:r>
            <w:r>
              <w:rPr>
                <w:rFonts w:ascii="Times New Roman" w:hAnsi="Times New Roman"/>
                <w:sz w:val="28"/>
                <w:szCs w:val="28"/>
              </w:rPr>
              <w:t>на отчетную дату (1 августа 2026 года) сыну гражданина уже исполнилось 18 лет</w:t>
            </w:r>
          </w:p>
        </w:tc>
      </w:tr>
      <w:tr w14:paraId="68B43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19" w:type="dxa"/>
          </w:tcPr>
          <w:p w14:paraId="0E53C186">
            <w:pPr>
              <w:ind w:firstLine="0"/>
              <w:rPr>
                <w:rFonts w:ascii="Times New Roman" w:hAnsi="Times New Roman"/>
                <w:sz w:val="28"/>
                <w:szCs w:val="28"/>
              </w:rPr>
            </w:pPr>
            <w:r>
              <w:rPr>
                <w:rFonts w:ascii="Times New Roman" w:hAnsi="Times New Roman"/>
                <w:sz w:val="28"/>
                <w:szCs w:val="28"/>
              </w:rPr>
              <w:t>Сыну гражданина 1 августа 2026 года исполнилось 18 лет</w:t>
            </w:r>
          </w:p>
        </w:tc>
        <w:tc>
          <w:tcPr>
            <w:tcW w:w="7229" w:type="dxa"/>
          </w:tcPr>
          <w:p w14:paraId="3E33EA67">
            <w:pPr>
              <w:ind w:firstLine="0"/>
              <w:rPr>
                <w:rFonts w:ascii="Times New Roman" w:hAnsi="Times New Roman"/>
                <w:sz w:val="28"/>
                <w:szCs w:val="28"/>
              </w:rPr>
            </w:pPr>
            <w:r>
              <w:rPr>
                <w:rFonts w:ascii="Times New Roman" w:hAnsi="Times New Roman"/>
                <w:sz w:val="28"/>
                <w:szCs w:val="28"/>
              </w:rPr>
              <w:t xml:space="preserve">Сведения в отношении сына представляются, поскольку сын гражданина считается достигшим возраста 18 лет </w:t>
            </w:r>
            <w:r>
              <w:rPr>
                <w:rFonts w:ascii="Times New Roman" w:hAnsi="Times New Roman"/>
                <w:sz w:val="28"/>
                <w:szCs w:val="28"/>
              </w:rPr>
              <w:br w:type="textWrapping"/>
            </w:r>
            <w:r>
              <w:rPr>
                <w:rFonts w:ascii="Times New Roman" w:hAnsi="Times New Roman"/>
                <w:sz w:val="28"/>
                <w:szCs w:val="28"/>
              </w:rPr>
              <w:t>на следующий день после дня рождения, то есть 2 августа 2026 года. Таким образом, по состоянию на отчетную дату (1 августа 2026 года) он еще являлся несовершеннолетним</w:t>
            </w:r>
          </w:p>
        </w:tc>
      </w:tr>
      <w:tr w14:paraId="12E06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119" w:type="dxa"/>
          </w:tcPr>
          <w:p w14:paraId="64DAF5A0">
            <w:pPr>
              <w:ind w:firstLine="0"/>
              <w:rPr>
                <w:rFonts w:ascii="Times New Roman" w:hAnsi="Times New Roman"/>
                <w:sz w:val="28"/>
                <w:szCs w:val="28"/>
              </w:rPr>
            </w:pPr>
            <w:r>
              <w:rPr>
                <w:rFonts w:ascii="Times New Roman" w:hAnsi="Times New Roman"/>
                <w:sz w:val="28"/>
                <w:szCs w:val="28"/>
              </w:rPr>
              <w:t>Сыну гражданина 17 августа 2026 года исполнилось 18 лет</w:t>
            </w:r>
          </w:p>
        </w:tc>
        <w:tc>
          <w:tcPr>
            <w:tcW w:w="7229" w:type="dxa"/>
          </w:tcPr>
          <w:p w14:paraId="3F0DE393">
            <w:pPr>
              <w:ind w:firstLine="0"/>
              <w:rPr>
                <w:rFonts w:ascii="Times New Roman" w:hAnsi="Times New Roman"/>
                <w:sz w:val="28"/>
                <w:szCs w:val="28"/>
              </w:rPr>
            </w:pPr>
            <w:r>
              <w:rPr>
                <w:rFonts w:ascii="Times New Roman" w:hAnsi="Times New Roman"/>
                <w:sz w:val="28"/>
                <w:szCs w:val="28"/>
              </w:rPr>
              <w:t xml:space="preserve">Сведения в отношении сына представляются, поскольку по состоянию на отчетную дату (1 августа 2026 года) сын гражданина являлся несовершеннолетним </w:t>
            </w:r>
          </w:p>
        </w:tc>
      </w:tr>
    </w:tbl>
    <w:p w14:paraId="092EC7B9">
      <w:pPr>
        <w:pStyle w:val="193"/>
        <w:ind w:left="567" w:firstLine="0"/>
        <w:rPr>
          <w:rFonts w:ascii="Times New Roman" w:hAnsi="Times New Roman"/>
          <w:sz w:val="28"/>
          <w:szCs w:val="28"/>
        </w:rPr>
      </w:pPr>
    </w:p>
    <w:p w14:paraId="44D6C67D">
      <w:pPr>
        <w:pStyle w:val="193"/>
        <w:numPr>
          <w:ilvl w:val="0"/>
          <w:numId w:val="1"/>
        </w:numPr>
        <w:ind w:left="0" w:firstLine="567"/>
        <w:rPr>
          <w:rFonts w:ascii="Times New Roman" w:hAnsi="Times New Roman"/>
          <w:sz w:val="28"/>
          <w:szCs w:val="28"/>
        </w:rPr>
      </w:pPr>
      <w:r>
        <w:rPr>
          <w:rFonts w:ascii="Times New Roman" w:hAnsi="Times New Roman"/>
          <w:sz w:val="28"/>
          <w:szCs w:val="28"/>
        </w:rPr>
        <w:t>Представление служащим (работником) Сведений в отношении несовершеннолетнего ребенка, в случае если служащий (работник) является опекуном (попечителем), его супруга (супруг) является опекуном (попечителем) или его супруга (супруг) является усыновителем такого ребенка, не является нарушением.</w:t>
      </w:r>
    </w:p>
    <w:p w14:paraId="7E8973F6">
      <w:pPr>
        <w:pStyle w:val="193"/>
        <w:numPr>
          <w:ilvl w:val="0"/>
          <w:numId w:val="1"/>
        </w:numPr>
        <w:ind w:left="0" w:firstLine="567"/>
        <w:rPr>
          <w:rFonts w:ascii="Times New Roman" w:hAnsi="Times New Roman"/>
          <w:sz w:val="28"/>
          <w:szCs w:val="28"/>
        </w:rPr>
      </w:pPr>
      <w:r>
        <w:rPr>
          <w:rFonts w:ascii="Times New Roman" w:hAnsi="Times New Roman"/>
          <w:sz w:val="28"/>
          <w:szCs w:val="28"/>
        </w:rPr>
        <w:t>Сведения в отношении несовершеннолетних детей, проживающих раздельно со служащим (работником) в случае, если служащий (работник) не лишен родительских прав, представляются в установленном порядке.</w:t>
      </w:r>
    </w:p>
    <w:p w14:paraId="7A329A4D">
      <w:pPr>
        <w:pStyle w:val="193"/>
        <w:ind w:left="0" w:firstLine="567"/>
        <w:outlineLvl w:val="1"/>
        <w:rPr>
          <w:rFonts w:ascii="Times New Roman" w:hAnsi="Times New Roman"/>
          <w:b/>
          <w:sz w:val="28"/>
          <w:szCs w:val="28"/>
        </w:rPr>
      </w:pPr>
      <w:bookmarkStart w:id="19" w:name="_Toc225936063"/>
      <w:r>
        <w:rPr>
          <w:rFonts w:ascii="Times New Roman" w:hAnsi="Times New Roman"/>
          <w:b/>
          <w:sz w:val="28"/>
          <w:szCs w:val="28"/>
        </w:rPr>
        <w:t>Уточнение представленных Сведений</w:t>
      </w:r>
      <w:bookmarkEnd w:id="19"/>
    </w:p>
    <w:p w14:paraId="02567895">
      <w:pPr>
        <w:pStyle w:val="193"/>
        <w:numPr>
          <w:ilvl w:val="0"/>
          <w:numId w:val="1"/>
        </w:numPr>
        <w:ind w:left="0" w:firstLine="567"/>
        <w:rPr>
          <w:rFonts w:ascii="Times New Roman" w:hAnsi="Times New Roman"/>
          <w:sz w:val="28"/>
          <w:szCs w:val="28"/>
        </w:rPr>
      </w:pPr>
      <w:r>
        <w:rPr>
          <w:rFonts w:ascii="Times New Roman" w:hAnsi="Times New Roman"/>
          <w:sz w:val="28"/>
          <w:szCs w:val="28"/>
        </w:rPr>
        <w:t>Гражданин может представить уточненные сведения о доходах, об имуществе и обязательствах имущественного характера в течение одного месяца со дня представления данных сведений в соответствии с законодательством Российской Федерации.</w:t>
      </w:r>
    </w:p>
    <w:p w14:paraId="4A5CA24D">
      <w:pPr>
        <w:pStyle w:val="193"/>
        <w:numPr>
          <w:ilvl w:val="0"/>
          <w:numId w:val="1"/>
        </w:numPr>
        <w:ind w:left="0" w:firstLine="567"/>
        <w:rPr>
          <w:rFonts w:ascii="Times New Roman" w:hAnsi="Times New Roman"/>
          <w:sz w:val="28"/>
          <w:szCs w:val="28"/>
        </w:rPr>
      </w:pPr>
      <w:r>
        <w:rPr>
          <w:rFonts w:ascii="Times New Roman" w:hAnsi="Times New Roman"/>
          <w:sz w:val="28"/>
          <w:szCs w:val="28"/>
        </w:rPr>
        <w:t>Служащий, претендующий на замещение должности, предусмотренной перечнем, и государственный служащий, назначаемый на должность в порядке перевода из другого государственного органа, могут представить уточненные сведения о доходах, об имуществе и обязательствах имущественного характера в течение одного месяца со дня представления данных сведений в соответствии с законодательством Российской Федерации.</w:t>
      </w:r>
    </w:p>
    <w:p w14:paraId="5ECB4A53">
      <w:pPr>
        <w:pStyle w:val="193"/>
        <w:numPr>
          <w:ilvl w:val="0"/>
          <w:numId w:val="1"/>
        </w:numPr>
        <w:ind w:left="0" w:firstLine="567"/>
        <w:rPr>
          <w:rFonts w:ascii="Times New Roman" w:hAnsi="Times New Roman"/>
          <w:sz w:val="28"/>
          <w:szCs w:val="28"/>
        </w:rPr>
      </w:pPr>
      <w:r>
        <w:rPr>
          <w:rFonts w:ascii="Times New Roman" w:hAnsi="Times New Roman"/>
          <w:sz w:val="28"/>
          <w:szCs w:val="28"/>
        </w:rPr>
        <w:t>Служащий (работник) в рамках декларационной кампании может представить уточненные Сведения в течение одного месяца после окончания срока представления Сведений (30 апреля года, следующего за отчетным), а именно включительно в срок до 31 мая года, следующего за отчетным.</w:t>
      </w:r>
    </w:p>
    <w:p w14:paraId="37EF47A4">
      <w:pPr>
        <w:pStyle w:val="193"/>
        <w:numPr>
          <w:ilvl w:val="0"/>
          <w:numId w:val="1"/>
        </w:numPr>
        <w:ind w:left="0" w:firstLine="567"/>
        <w:rPr>
          <w:rFonts w:ascii="Times New Roman" w:hAnsi="Times New Roman"/>
          <w:sz w:val="28"/>
          <w:szCs w:val="28"/>
        </w:rPr>
      </w:pPr>
      <w:r>
        <w:rPr>
          <w:rFonts w:ascii="Times New Roman" w:hAnsi="Times New Roman"/>
          <w:sz w:val="28"/>
          <w:szCs w:val="28"/>
        </w:rPr>
        <w:t>Представление уточненных Сведений предусматривает повторное представление только справки, в которой не отражены или не полностью отражены какие-либо Сведения либо имеются ошибки.</w:t>
      </w:r>
    </w:p>
    <w:p w14:paraId="719C3139">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Представление уточненных Сведений за предыдущие декларационные кампании не предусмотрено. </w:t>
      </w:r>
    </w:p>
    <w:p w14:paraId="10193EF6">
      <w:pPr>
        <w:pStyle w:val="193"/>
        <w:numPr>
          <w:ilvl w:val="0"/>
          <w:numId w:val="1"/>
        </w:numPr>
        <w:ind w:left="0" w:firstLine="567"/>
        <w:rPr>
          <w:rFonts w:ascii="Times New Roman" w:hAnsi="Times New Roman"/>
          <w:sz w:val="28"/>
          <w:szCs w:val="28"/>
        </w:rPr>
      </w:pPr>
      <w:r>
        <w:rPr>
          <w:rFonts w:ascii="Times New Roman" w:hAnsi="Times New Roman"/>
          <w:sz w:val="28"/>
          <w:szCs w:val="28"/>
        </w:rPr>
        <w:t>В случае если лицо не представило Сведения в период декларационной кампании, то основания для представления уточненных Сведений у него отсутствуют.</w:t>
      </w:r>
    </w:p>
    <w:p w14:paraId="33912288">
      <w:pPr>
        <w:pStyle w:val="3"/>
        <w:rPr>
          <w:b w:val="0"/>
        </w:rPr>
      </w:pPr>
      <w:bookmarkStart w:id="20" w:name="_Toc225936064"/>
      <w:r>
        <w:t>Рекомендуемые действия при невозможности по объективным причинам представить Сведения в отношении члена семьи</w:t>
      </w:r>
      <w:bookmarkEnd w:id="20"/>
    </w:p>
    <w:p w14:paraId="775BD827">
      <w:pPr>
        <w:pStyle w:val="193"/>
        <w:numPr>
          <w:ilvl w:val="0"/>
          <w:numId w:val="1"/>
        </w:numPr>
        <w:ind w:left="0" w:firstLine="567"/>
        <w:rPr>
          <w:rFonts w:ascii="Times New Roman" w:hAnsi="Times New Roman"/>
          <w:sz w:val="28"/>
          <w:szCs w:val="28"/>
        </w:rPr>
      </w:pPr>
      <w:bookmarkStart w:id="21" w:name="Причины"/>
      <w:r>
        <w:rPr>
          <w:rFonts w:ascii="Times New Roman" w:hAnsi="Times New Roman"/>
          <w:sz w:val="28"/>
          <w:szCs w:val="28"/>
        </w:rPr>
        <w:t>При невозможности по объективным причинам представить сведения о доходах, об имуществе и обязательствах имущественного характера своей супруги (супруга), своих несовершеннолетних детей служащему (работнику) следует обратиться с заявлением, предусмотренным абзацем третьим подпункта "б" пункта 2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 233 "О некоторых вопросах организации деятельности президиума Совета при Президенте Российской Федерации по противодействию коррупции", абзацем третьим подпункта "б" пункта</w:t>
      </w:r>
      <w:r>
        <w:rPr>
          <w:rFonts w:ascii="Times New Roman" w:hAnsi="Times New Roman"/>
          <w:sz w:val="28"/>
          <w:szCs w:val="28"/>
          <w:lang w:val="en-US"/>
        </w:rPr>
        <w:t> </w:t>
      </w:r>
      <w:r>
        <w:rPr>
          <w:rFonts w:ascii="Times New Roman" w:hAnsi="Times New Roman"/>
          <w:sz w:val="28"/>
          <w:szCs w:val="28"/>
        </w:rPr>
        <w:t>16 Положения о комиссиях по соблюдению требований к служебному поведению федеральных государственных служащих и урегулированию конфликта интересов, утвержденного Указом Президента Российской Федерации от 1</w:t>
      </w:r>
      <w:r>
        <w:rPr>
          <w:rFonts w:ascii="Times New Roman" w:hAnsi="Times New Roman"/>
          <w:sz w:val="28"/>
          <w:szCs w:val="28"/>
          <w:lang w:val="en-US"/>
        </w:rPr>
        <w:t> </w:t>
      </w:r>
      <w:r>
        <w:rPr>
          <w:rFonts w:ascii="Times New Roman" w:hAnsi="Times New Roman"/>
          <w:sz w:val="28"/>
          <w:szCs w:val="28"/>
        </w:rPr>
        <w:t>июля 2010 г. № 821 "О комиссиях по соблюдению требований к служебному поведению федеральных государственных служащих и урегулированию конфликта интересов", пунктом 11 Положения о представлении атаманом Всероссийского казачьего общества, гражданином, претендующим на замещение должности атамана Всероссийского казачьего общества, и атаманом войскового казачьего общества, внесенного в государственный реестр казачьих обществ в Российской Федерации, сведений о доходах, об имуществе и обязательствах имущественного характера, утвержденного Указом Президента Российской Федерации от 9 октября 2017 г. № 472 "О представлении атаманом Всероссийского казачьего общества, гражданином, претендующим на замещение должности атамана Всероссийского казачьего общества, и атаманом войскового казачьего общества, внесенного в государственный реестр казачьих обществ в Российской Федерации, сведений о доходах, об имуществе и обязательствах имущественного характера и о внесении изменения в форму справки о доходах, расходах, об имуществе и обязательствах имущественного характера, утвержденную Указом Президента Российской Федерации от 23 июня 2014 г. № 460", пунктом 10 Положения о представлении гражданином, претендующим на замещение должности главного финансового уполномоченного, и лицом, замещающим указанную должность, сведений о своих доходах, об имуществе и обязательствах имущественного характера,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13 мая 2019 г. № 217 "О мерах по реализации отдельных положений Федерального закона "Об уполномоченном по правам потребителей финансовых услуг".</w:t>
      </w:r>
    </w:p>
    <w:p w14:paraId="04A288F2">
      <w:pPr>
        <w:pStyle w:val="193"/>
        <w:tabs>
          <w:tab w:val="left" w:pos="1134"/>
        </w:tabs>
        <w:ind w:left="0" w:firstLine="567"/>
        <w:rPr>
          <w:rFonts w:ascii="Times New Roman" w:hAnsi="Times New Roman"/>
          <w:sz w:val="28"/>
          <w:szCs w:val="28"/>
        </w:rPr>
      </w:pPr>
      <w:r>
        <w:rPr>
          <w:rFonts w:ascii="Times New Roman" w:hAnsi="Times New Roman"/>
          <w:sz w:val="28"/>
          <w:szCs w:val="28"/>
        </w:rPr>
        <w:t xml:space="preserve">Заявление может быть подано служащим (работником) также в случае назначения на должность в ситуации, указанной </w:t>
      </w:r>
      <w:r>
        <w:rPr>
          <w:rFonts w:ascii="Times New Roman" w:hAnsi="Times New Roman"/>
          <w:sz w:val="28"/>
        </w:rPr>
        <w:t xml:space="preserve">в </w:t>
      </w:r>
      <w:r>
        <w:fldChar w:fldCharType="begin"/>
      </w:r>
      <w:r>
        <w:instrText xml:space="preserve"> HYPERLINK \l "Сведений" </w:instrText>
      </w:r>
      <w:r>
        <w:fldChar w:fldCharType="separate"/>
      </w:r>
      <w:r>
        <w:rPr>
          <w:rStyle w:val="17"/>
          <w:rFonts w:ascii="Times New Roman" w:hAnsi="Times New Roman"/>
          <w:sz w:val="28"/>
          <w:szCs w:val="28"/>
        </w:rPr>
        <w:t>пункте 4 настоящих Методических рекомендаций</w:t>
      </w:r>
      <w:r>
        <w:rPr>
          <w:rStyle w:val="17"/>
          <w:rFonts w:ascii="Times New Roman" w:hAnsi="Times New Roman"/>
          <w:sz w:val="28"/>
          <w:szCs w:val="28"/>
        </w:rPr>
        <w:fldChar w:fldCharType="end"/>
      </w:r>
      <w:r>
        <w:rPr>
          <w:rFonts w:ascii="Times New Roman" w:hAnsi="Times New Roman"/>
          <w:sz w:val="28"/>
          <w:szCs w:val="28"/>
        </w:rPr>
        <w:t>.</w:t>
      </w:r>
    </w:p>
    <w:p w14:paraId="19304E3E">
      <w:pPr>
        <w:pStyle w:val="193"/>
        <w:tabs>
          <w:tab w:val="left" w:pos="1134"/>
        </w:tabs>
        <w:ind w:left="0" w:firstLine="567"/>
        <w:rPr>
          <w:rFonts w:ascii="Times New Roman" w:hAnsi="Times New Roman"/>
          <w:sz w:val="28"/>
          <w:szCs w:val="28"/>
        </w:rPr>
      </w:pPr>
      <w:r>
        <w:rPr>
          <w:rFonts w:ascii="Times New Roman" w:hAnsi="Times New Roman"/>
          <w:sz w:val="28"/>
          <w:szCs w:val="28"/>
        </w:rPr>
        <w:t>Дополнительная информация содержится в Обзоре правоприменительной практики в части невозможности представить по объективным и уважительным причинам сведения о доходах, расходах, об имуществе и обязательствах имущественного характера своих супруги (супруга) и несовершеннолетних детей (</w:t>
      </w:r>
      <w:r>
        <w:fldChar w:fldCharType="begin"/>
      </w:r>
      <w:r>
        <w:instrText xml:space="preserve"> HYPERLINK "https://mintrud.gov.ru/ministry/programms/anticorruption/9/24" </w:instrText>
      </w:r>
      <w:r>
        <w:fldChar w:fldCharType="separate"/>
      </w:r>
      <w:r>
        <w:rPr>
          <w:rStyle w:val="17"/>
          <w:rFonts w:ascii="Times New Roman" w:hAnsi="Times New Roman"/>
          <w:sz w:val="28"/>
          <w:szCs w:val="28"/>
        </w:rPr>
        <w:t>https://mintrud.gov.ru/ministry/programms/anticorruption/9/24</w:t>
      </w:r>
      <w:r>
        <w:rPr>
          <w:rStyle w:val="17"/>
          <w:rFonts w:ascii="Times New Roman" w:hAnsi="Times New Roman"/>
          <w:sz w:val="28"/>
          <w:szCs w:val="28"/>
        </w:rPr>
        <w:fldChar w:fldCharType="end"/>
      </w:r>
      <w:r>
        <w:rPr>
          <w:rFonts w:ascii="Times New Roman" w:hAnsi="Times New Roman"/>
          <w:sz w:val="28"/>
          <w:szCs w:val="28"/>
        </w:rPr>
        <w:t xml:space="preserve">). </w:t>
      </w:r>
    </w:p>
    <w:bookmarkEnd w:id="21"/>
    <w:p w14:paraId="66AD7B69">
      <w:pPr>
        <w:pStyle w:val="193"/>
        <w:numPr>
          <w:ilvl w:val="0"/>
          <w:numId w:val="1"/>
        </w:numPr>
        <w:tabs>
          <w:tab w:val="left" w:pos="1134"/>
        </w:tabs>
        <w:ind w:left="0" w:firstLine="567"/>
        <w:rPr>
          <w:rFonts w:ascii="Times New Roman" w:hAnsi="Times New Roman"/>
          <w:sz w:val="28"/>
          <w:szCs w:val="28"/>
        </w:rPr>
      </w:pPr>
      <w:r>
        <w:rPr>
          <w:rFonts w:ascii="Times New Roman" w:hAnsi="Times New Roman"/>
          <w:sz w:val="28"/>
          <w:szCs w:val="28"/>
        </w:rPr>
        <w:t>Заявление подается в порядке, установленном нормативным правовым актом органа публичной власти или актом организации.</w:t>
      </w:r>
    </w:p>
    <w:p w14:paraId="28644D74">
      <w:pPr>
        <w:pStyle w:val="193"/>
        <w:tabs>
          <w:tab w:val="left" w:pos="1134"/>
        </w:tabs>
        <w:ind w:left="0" w:firstLine="567"/>
        <w:rPr>
          <w:rFonts w:ascii="Times New Roman" w:hAnsi="Times New Roman"/>
          <w:sz w:val="28"/>
          <w:szCs w:val="28"/>
        </w:rPr>
      </w:pPr>
      <w:r>
        <w:rPr>
          <w:rFonts w:ascii="Times New Roman" w:hAnsi="Times New Roman"/>
          <w:sz w:val="28"/>
          <w:szCs w:val="28"/>
        </w:rPr>
        <w:t>Заявление при наличии длящихся обстоятельств подается каждый раз, когда возникают основания для представления Сведений. При этом подача рассматриваемого заявления не предполагает необходимость представления имеющихся в распоряжении служащего (работника) Сведений (частичных Сведений в отношении супруги (супруга) и несовершеннолетних детей).</w:t>
      </w:r>
    </w:p>
    <w:p w14:paraId="2AFC1A9B">
      <w:pPr>
        <w:pStyle w:val="193"/>
        <w:numPr>
          <w:ilvl w:val="0"/>
          <w:numId w:val="1"/>
        </w:numPr>
        <w:ind w:left="0" w:firstLine="567"/>
        <w:rPr>
          <w:rFonts w:ascii="Times New Roman" w:hAnsi="Times New Roman"/>
          <w:sz w:val="28"/>
          <w:szCs w:val="28"/>
        </w:rPr>
      </w:pPr>
      <w:r>
        <w:rPr>
          <w:rFonts w:ascii="Times New Roman" w:hAnsi="Times New Roman"/>
          <w:sz w:val="28"/>
          <w:szCs w:val="28"/>
        </w:rPr>
        <w:t>Заявление направляется до истечения срока, установленного для представления служащим (работником) Сведений.</w:t>
      </w:r>
    </w:p>
    <w:p w14:paraId="24958061">
      <w:pPr>
        <w:pStyle w:val="193"/>
        <w:ind w:left="0" w:firstLine="567"/>
        <w:rPr>
          <w:rFonts w:ascii="Times New Roman" w:hAnsi="Times New Roman"/>
          <w:sz w:val="28"/>
          <w:szCs w:val="28"/>
        </w:rPr>
      </w:pPr>
      <w:bookmarkStart w:id="22" w:name="таблица4"/>
      <w:r>
        <w:rPr>
          <w:rFonts w:ascii="Times New Roman" w:hAnsi="Times New Roman"/>
          <w:sz w:val="28"/>
          <w:szCs w:val="28"/>
        </w:rPr>
        <w:t>Заявление подается (таблица № 4):</w:t>
      </w:r>
    </w:p>
    <w:bookmarkEnd w:id="22"/>
    <w:p w14:paraId="166ADB70">
      <w:pPr>
        <w:ind w:firstLine="851"/>
        <w:rPr>
          <w:rFonts w:ascii="Times New Roman" w:hAnsi="Times New Roman"/>
          <w:sz w:val="28"/>
          <w:szCs w:val="28"/>
        </w:rPr>
      </w:pPr>
    </w:p>
    <w:tbl>
      <w:tblPr>
        <w:tblStyle w:val="12"/>
        <w:tblW w:w="103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3"/>
        <w:gridCol w:w="7125"/>
      </w:tblGrid>
      <w:tr w14:paraId="10BF5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3" w:type="dxa"/>
            <w:shd w:val="clear" w:color="auto" w:fill="auto"/>
          </w:tcPr>
          <w:p w14:paraId="1C711522">
            <w:pPr>
              <w:ind w:firstLine="0"/>
              <w:rPr>
                <w:rFonts w:ascii="Times New Roman" w:hAnsi="Times New Roman"/>
                <w:sz w:val="28"/>
                <w:szCs w:val="28"/>
              </w:rPr>
            </w:pPr>
            <w:r>
              <w:rPr>
                <w:rFonts w:ascii="Times New Roman" w:hAnsi="Times New Roman"/>
                <w:sz w:val="28"/>
                <w:szCs w:val="28"/>
              </w:rPr>
              <w:t>В Управление Президента Российской Федерации по вопросам государственной службы, кадров и  противодействия коррупции</w:t>
            </w:r>
          </w:p>
        </w:tc>
        <w:tc>
          <w:tcPr>
            <w:tcW w:w="7125" w:type="dxa"/>
            <w:shd w:val="clear" w:color="auto" w:fill="auto"/>
          </w:tcPr>
          <w:p w14:paraId="39446ABB">
            <w:pPr>
              <w:ind w:firstLine="0"/>
              <w:rPr>
                <w:rFonts w:ascii="Times New Roman" w:hAnsi="Times New Roman"/>
                <w:sz w:val="28"/>
                <w:szCs w:val="28"/>
              </w:rPr>
            </w:pPr>
            <w:r>
              <w:rPr>
                <w:rFonts w:ascii="Times New Roman" w:hAnsi="Times New Roman"/>
                <w:sz w:val="28"/>
                <w:szCs w:val="28"/>
              </w:rPr>
              <w:t>лицами, замещающими государственные должности Российской Федерации, должности федеральной государственной службы, должности в государственных корпорациях (компаниях), публично-правовых компаниях, иных организациях, созданных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иными лицами, замещающими государственные должности Российской Федерации, должности заместителя Председателя Центрального банка Российской Федерации, члена Совета директоров Центрального банка Российской Федерации, а также главного финансового уполномоченного в случае и порядке, которые установлены нормативными правовыми актами Российской Федерации</w:t>
            </w:r>
          </w:p>
        </w:tc>
      </w:tr>
      <w:tr w14:paraId="13E2E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3" w:type="dxa"/>
            <w:shd w:val="clear" w:color="auto" w:fill="auto"/>
          </w:tcPr>
          <w:p w14:paraId="175EEE64">
            <w:pPr>
              <w:ind w:firstLine="0"/>
              <w:rPr>
                <w:rFonts w:ascii="Times New Roman" w:hAnsi="Times New Roman"/>
                <w:sz w:val="28"/>
                <w:szCs w:val="28"/>
              </w:rPr>
            </w:pPr>
            <w:r>
              <w:rPr>
                <w:rFonts w:ascii="Times New Roman" w:hAnsi="Times New Roman"/>
                <w:sz w:val="28"/>
                <w:szCs w:val="28"/>
              </w:rPr>
              <w:t xml:space="preserve">В Департамент кадров Правительства Российской Федерации </w:t>
            </w:r>
          </w:p>
        </w:tc>
        <w:tc>
          <w:tcPr>
            <w:tcW w:w="7125" w:type="dxa"/>
            <w:shd w:val="clear" w:color="auto" w:fill="auto"/>
          </w:tcPr>
          <w:p w14:paraId="2FEC3611">
            <w:pPr>
              <w:ind w:firstLine="0"/>
              <w:rPr>
                <w:rFonts w:ascii="Times New Roman" w:hAnsi="Times New Roman"/>
                <w:sz w:val="28"/>
                <w:szCs w:val="28"/>
              </w:rPr>
            </w:pPr>
            <w:r>
              <w:rPr>
                <w:rFonts w:ascii="Times New Roman" w:hAnsi="Times New Roman"/>
                <w:sz w:val="28"/>
                <w:szCs w:val="28"/>
              </w:rPr>
              <w:t>лицами, замещающими должности федеральной государственной службы, должности в государственных корпорациях (компаниях), публично-правовых компаниях, иных организациях, созданных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w:t>
            </w:r>
          </w:p>
        </w:tc>
      </w:tr>
      <w:tr w14:paraId="05710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3" w:type="dxa"/>
            <w:shd w:val="clear" w:color="auto" w:fill="auto"/>
          </w:tcPr>
          <w:p w14:paraId="028913E5">
            <w:pPr>
              <w:ind w:firstLine="0"/>
              <w:rPr>
                <w:rFonts w:ascii="Times New Roman" w:hAnsi="Times New Roman"/>
                <w:sz w:val="28"/>
                <w:szCs w:val="28"/>
              </w:rPr>
            </w:pPr>
            <w:r>
              <w:rPr>
                <w:rFonts w:ascii="Times New Roman" w:hAnsi="Times New Roman"/>
                <w:sz w:val="28"/>
                <w:szCs w:val="28"/>
              </w:rPr>
              <w:t>В подразделение кадровой службы федерального государственного органа по профилактике коррупционных и иных правонарушений</w:t>
            </w:r>
          </w:p>
          <w:p w14:paraId="5FCCE49F">
            <w:pPr>
              <w:ind w:firstLine="0"/>
              <w:rPr>
                <w:rFonts w:ascii="Times New Roman" w:hAnsi="Times New Roman"/>
                <w:sz w:val="28"/>
                <w:szCs w:val="28"/>
              </w:rPr>
            </w:pPr>
            <w:r>
              <w:rPr>
                <w:rFonts w:ascii="Times New Roman" w:hAnsi="Times New Roman"/>
                <w:sz w:val="28"/>
                <w:szCs w:val="28"/>
              </w:rPr>
              <w:t>(если иное не предусмотрено нормативным правовым актом федерального государственного органа, зарегистрированным в установленном порядке)</w:t>
            </w:r>
          </w:p>
        </w:tc>
        <w:tc>
          <w:tcPr>
            <w:tcW w:w="7125" w:type="dxa"/>
            <w:shd w:val="clear" w:color="auto" w:fill="auto"/>
          </w:tcPr>
          <w:p w14:paraId="526B9CF3">
            <w:pPr>
              <w:ind w:firstLine="0"/>
              <w:rPr>
                <w:rFonts w:ascii="Times New Roman" w:hAnsi="Times New Roman"/>
                <w:sz w:val="28"/>
                <w:szCs w:val="28"/>
              </w:rPr>
            </w:pPr>
            <w:r>
              <w:rPr>
                <w:rFonts w:ascii="Times New Roman" w:hAnsi="Times New Roman"/>
                <w:sz w:val="28"/>
                <w:szCs w:val="28"/>
              </w:rPr>
              <w:t xml:space="preserve">лицами, замещающими должности федеральной государственной службы, включенные в перечни, установленные нормативными правовыми актами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(за исключением должностей, назначение на которые и освобождение от которых осуществляется Президентом Российской Федерации или Правительством Российской Федерации) </w:t>
            </w:r>
          </w:p>
        </w:tc>
      </w:tr>
      <w:tr w14:paraId="03555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3" w:type="dxa"/>
            <w:tcBorders>
              <w:bottom w:val="single" w:color="auto" w:sz="4" w:space="0"/>
            </w:tcBorders>
            <w:shd w:val="clear" w:color="auto" w:fill="auto"/>
          </w:tcPr>
          <w:p w14:paraId="5CA9732D">
            <w:pPr>
              <w:ind w:firstLine="0"/>
              <w:rPr>
                <w:rFonts w:ascii="Times New Roman" w:hAnsi="Times New Roman"/>
                <w:sz w:val="28"/>
                <w:szCs w:val="28"/>
              </w:rPr>
            </w:pPr>
            <w:r>
              <w:rPr>
                <w:rFonts w:ascii="Times New Roman" w:hAnsi="Times New Roman"/>
                <w:sz w:val="28"/>
                <w:szCs w:val="28"/>
              </w:rPr>
              <w:t>В подразделение по профилактике коррупционных и иных правонарушений государственного внебюджетного фонда Российской Федерации, государственной корпорации (компании), публично-правовой компании, иной организации, созданной на основании федерального закона</w:t>
            </w:r>
          </w:p>
        </w:tc>
        <w:tc>
          <w:tcPr>
            <w:tcW w:w="7125" w:type="dxa"/>
            <w:tcBorders>
              <w:bottom w:val="single" w:color="auto" w:sz="4" w:space="0"/>
            </w:tcBorders>
            <w:shd w:val="clear" w:color="auto" w:fill="auto"/>
          </w:tcPr>
          <w:p w14:paraId="6BB46A0D">
            <w:pPr>
              <w:ind w:firstLine="0"/>
              <w:rPr>
                <w:rFonts w:ascii="Times New Roman" w:hAnsi="Times New Roman"/>
                <w:sz w:val="28"/>
                <w:szCs w:val="28"/>
              </w:rPr>
            </w:pPr>
            <w:r>
              <w:rPr>
                <w:rFonts w:ascii="Times New Roman" w:hAnsi="Times New Roman"/>
                <w:sz w:val="28"/>
                <w:szCs w:val="28"/>
              </w:rPr>
              <w:t>лицами, замещающими должности, включенные в перечни, установленные нормативными актами государственных внебюджетных фондов Российской Федерации, локальными нормативными актами государственных корпораций (компаний), публично-правовых компаний и иных организаций, созданных на основании федеральных законов</w:t>
            </w:r>
          </w:p>
        </w:tc>
      </w:tr>
      <w:tr w14:paraId="4E42D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3" w:type="dxa"/>
            <w:shd w:val="clear" w:color="auto" w:fill="FFFFFF"/>
          </w:tcPr>
          <w:p w14:paraId="7B6BB3C7">
            <w:pPr>
              <w:ind w:firstLine="0"/>
              <w:rPr>
                <w:rFonts w:ascii="Times New Roman" w:hAnsi="Times New Roman"/>
                <w:sz w:val="28"/>
                <w:szCs w:val="28"/>
              </w:rPr>
            </w:pPr>
            <w:r>
              <w:rPr>
                <w:rFonts w:ascii="Times New Roman" w:hAnsi="Times New Roman"/>
                <w:sz w:val="28"/>
                <w:szCs w:val="28"/>
              </w:rPr>
              <w:t xml:space="preserve">В подразделение по профилактике коррупционных и иных правонарушений Центрального банка Российской Федерации </w:t>
            </w:r>
          </w:p>
        </w:tc>
        <w:tc>
          <w:tcPr>
            <w:tcW w:w="7125" w:type="dxa"/>
            <w:shd w:val="clear" w:color="auto" w:fill="FFFFFF"/>
          </w:tcPr>
          <w:p w14:paraId="6DDCE4CF">
            <w:pPr>
              <w:ind w:firstLine="33"/>
              <w:rPr>
                <w:rFonts w:ascii="Times New Roman" w:hAnsi="Times New Roman"/>
                <w:sz w:val="28"/>
                <w:szCs w:val="28"/>
              </w:rPr>
            </w:pPr>
            <w:r>
              <w:rPr>
                <w:rFonts w:ascii="Times New Roman" w:hAnsi="Times New Roman"/>
                <w:sz w:val="28"/>
                <w:szCs w:val="28"/>
              </w:rPr>
              <w:t xml:space="preserve">лицами, занимающими должности, включенные в перечень, утвержденный Советом директоров Центрального банка Российской Федерации, а также должности финансовых уполномоченных в сферах финансовых услуг и руководителя службы обеспечения деятельности финансового уполномоченного </w:t>
            </w:r>
          </w:p>
        </w:tc>
      </w:tr>
      <w:tr w14:paraId="5379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3" w:type="dxa"/>
            <w:shd w:val="clear" w:color="auto" w:fill="FFFFFF"/>
          </w:tcPr>
          <w:p w14:paraId="748CE252">
            <w:pPr>
              <w:ind w:firstLine="0"/>
              <w:rPr>
                <w:rFonts w:ascii="Times New Roman" w:hAnsi="Times New Roman"/>
                <w:sz w:val="28"/>
                <w:szCs w:val="28"/>
              </w:rPr>
            </w:pPr>
            <w:r>
              <w:rPr>
                <w:rFonts w:ascii="Times New Roman" w:hAnsi="Times New Roman"/>
                <w:sz w:val="28"/>
                <w:szCs w:val="28"/>
              </w:rPr>
              <w:t>В уполномоченный Правительством Российской Федерации федеральный орган исполнительной власти по взаимодействию с казачьими обществами (Федеральное агентство по делам национальностей)</w:t>
            </w:r>
          </w:p>
        </w:tc>
        <w:tc>
          <w:tcPr>
            <w:tcW w:w="7125" w:type="dxa"/>
            <w:shd w:val="clear" w:color="auto" w:fill="FFFFFF"/>
          </w:tcPr>
          <w:p w14:paraId="5BD347E4">
            <w:pPr>
              <w:ind w:firstLine="33"/>
              <w:rPr>
                <w:rFonts w:ascii="Times New Roman" w:hAnsi="Times New Roman"/>
                <w:sz w:val="28"/>
                <w:szCs w:val="28"/>
              </w:rPr>
            </w:pPr>
            <w:r>
              <w:rPr>
                <w:rFonts w:ascii="Times New Roman" w:hAnsi="Times New Roman"/>
                <w:sz w:val="28"/>
                <w:szCs w:val="28"/>
              </w:rPr>
              <w:t>атаманом Всероссийского казачьего общества, гражданином, претендующим на замещение должности атамана Всероссийского казачьего общества, и атаманами войскового казачьего общества, избранными высшим органом управления войскового казачьего общества при внесении Президенту Российской Федерации представления об утверждении атамана войскового казачьего общества</w:t>
            </w:r>
          </w:p>
        </w:tc>
      </w:tr>
    </w:tbl>
    <w:p w14:paraId="06FD784F">
      <w:pPr>
        <w:rPr>
          <w:rFonts w:ascii="Times New Roman" w:hAnsi="Times New Roman"/>
          <w:sz w:val="28"/>
          <w:szCs w:val="28"/>
        </w:rPr>
      </w:pPr>
    </w:p>
    <w:p w14:paraId="445FC75B">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Для служащих (работников) право направить </w:t>
      </w:r>
      <w:r>
        <w:rPr>
          <w:rFonts w:ascii="Times New Roman" w:hAnsi="Times New Roman"/>
          <w:sz w:val="28"/>
          <w:szCs w:val="28"/>
          <w:u w:val="single"/>
        </w:rPr>
        <w:t>заявление</w:t>
      </w:r>
      <w:r>
        <w:rPr>
          <w:rFonts w:ascii="Times New Roman" w:hAnsi="Times New Roman"/>
          <w:sz w:val="28"/>
          <w:szCs w:val="28"/>
        </w:rPr>
        <w:t xml:space="preserve"> о невозможности представить сведения о </w:t>
      </w:r>
      <w:r>
        <w:rPr>
          <w:rFonts w:ascii="Times New Roman" w:hAnsi="Times New Roman"/>
          <w:b/>
          <w:sz w:val="28"/>
          <w:szCs w:val="28"/>
        </w:rPr>
        <w:t>своих</w:t>
      </w:r>
      <w:r>
        <w:rPr>
          <w:rFonts w:ascii="Times New Roman" w:hAnsi="Times New Roman"/>
          <w:sz w:val="28"/>
          <w:szCs w:val="28"/>
        </w:rPr>
        <w:t xml:space="preserve"> доходах, расходах, об имуществе и обязательствах имущественного характера законодательством не предусмотрено (при этом см. </w:t>
      </w:r>
      <w:r>
        <w:fldChar w:fldCharType="begin"/>
      </w:r>
      <w:r>
        <w:instrText xml:space="preserve"> HYPERLINK \l "двойной" </w:instrText>
      </w:r>
      <w:r>
        <w:fldChar w:fldCharType="separate"/>
      </w:r>
      <w:r>
        <w:rPr>
          <w:rStyle w:val="17"/>
          <w:rFonts w:ascii="Times New Roman" w:hAnsi="Times New Roman"/>
          <w:sz w:val="28"/>
          <w:szCs w:val="28"/>
        </w:rPr>
        <w:t>пункты 47 и 48 настоящих Методических рекомендаций</w:t>
      </w:r>
      <w:r>
        <w:rPr>
          <w:rStyle w:val="17"/>
          <w:rFonts w:ascii="Times New Roman" w:hAnsi="Times New Roman"/>
          <w:sz w:val="28"/>
          <w:szCs w:val="28"/>
        </w:rPr>
        <w:fldChar w:fldCharType="end"/>
      </w:r>
      <w:r>
        <w:rPr>
          <w:rFonts w:ascii="Times New Roman" w:hAnsi="Times New Roman"/>
          <w:sz w:val="28"/>
          <w:szCs w:val="28"/>
        </w:rPr>
        <w:t>).</w:t>
      </w:r>
    </w:p>
    <w:p w14:paraId="3E48A7B1">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Для граждан право направить заявление о невозможности представления Сведений в отношении супруги (супруга) или несовершеннолетних детей законодательством не предусмотрено. </w:t>
      </w:r>
    </w:p>
    <w:p w14:paraId="23DD10DE">
      <w:pPr>
        <w:pStyle w:val="193"/>
        <w:numPr>
          <w:ilvl w:val="0"/>
          <w:numId w:val="1"/>
        </w:numPr>
        <w:ind w:left="0" w:firstLine="567"/>
        <w:rPr>
          <w:rFonts w:ascii="Times New Roman" w:hAnsi="Times New Roman"/>
          <w:sz w:val="28"/>
          <w:szCs w:val="28"/>
          <w:lang w:eastAsia="ru-RU"/>
        </w:rPr>
      </w:pPr>
      <w:r>
        <w:rPr>
          <w:rFonts w:ascii="Times New Roman" w:hAnsi="Times New Roman"/>
          <w:sz w:val="28"/>
          <w:szCs w:val="28"/>
        </w:rPr>
        <w:t xml:space="preserve">Вопросы подачи </w:t>
      </w:r>
      <w:r>
        <w:rPr>
          <w:rFonts w:ascii="Times New Roman" w:hAnsi="Times New Roman"/>
          <w:sz w:val="28"/>
          <w:szCs w:val="28"/>
          <w:lang w:eastAsia="ru-RU"/>
        </w:rPr>
        <w:t xml:space="preserve">руководителем государственного учреждения субъекта Российской Федерации или руководителем муниципального учреждения </w:t>
      </w:r>
      <w:r>
        <w:rPr>
          <w:rFonts w:ascii="Times New Roman" w:hAnsi="Times New Roman"/>
          <w:sz w:val="28"/>
          <w:szCs w:val="28"/>
        </w:rPr>
        <w:t>заявления о невозможности представить Сведения в отношении супруги (супруга) или несовершеннолетних детей</w:t>
      </w:r>
      <w:r>
        <w:rPr>
          <w:rFonts w:ascii="Times New Roman" w:hAnsi="Times New Roman"/>
          <w:sz w:val="28"/>
          <w:szCs w:val="28"/>
          <w:lang w:eastAsia="ru-RU"/>
        </w:rPr>
        <w:t xml:space="preserve"> регулируются нормативным правовым актом субъекта Российской Федерации и муниципальным правовым актом соответственно.</w:t>
      </w:r>
    </w:p>
    <w:p w14:paraId="47FCB86F">
      <w:pPr>
        <w:pStyle w:val="3"/>
        <w:rPr>
          <w:b w:val="0"/>
        </w:rPr>
      </w:pPr>
      <w:bookmarkStart w:id="23" w:name="_Toc225936065"/>
      <w:r>
        <w:t>Рекомендуемые действия при невозможности представить Сведения вследствие не зависящих от служащего (работника) обстоятельств</w:t>
      </w:r>
      <w:bookmarkEnd w:id="23"/>
    </w:p>
    <w:p w14:paraId="3CF890E2">
      <w:pPr>
        <w:pStyle w:val="193"/>
        <w:numPr>
          <w:ilvl w:val="0"/>
          <w:numId w:val="1"/>
        </w:numPr>
        <w:ind w:left="0" w:firstLine="567"/>
        <w:rPr>
          <w:rFonts w:ascii="Times New Roman" w:hAnsi="Times New Roman"/>
          <w:sz w:val="28"/>
          <w:szCs w:val="28"/>
        </w:rPr>
      </w:pPr>
      <w:bookmarkStart w:id="24" w:name="двойной"/>
      <w:r>
        <w:rPr>
          <w:rFonts w:ascii="Times New Roman" w:hAnsi="Times New Roman"/>
          <w:sz w:val="28"/>
          <w:szCs w:val="28"/>
        </w:rPr>
        <w:t xml:space="preserve">В случае невозможности исполнения служащим (работником) обязанности представить Сведения (как в отношении самого себя, так и в отношении членов семьи) вследствие не зависящих от него обстоятельств, такое лицо в течение трех рабочих дней со дня, когда ему стало известно о возникновении не зависящих от него обстоятельств, обязано подать в соответствующую комиссию по соблюдению требований к служебному поведению государственных или муниципальных служащих и урегулированию конфликта интересов (иной коллегиальный орган, осуществляющий функции указанной комиссии) </w:t>
      </w:r>
      <w:r>
        <w:rPr>
          <w:rFonts w:ascii="Times New Roman" w:hAnsi="Times New Roman"/>
          <w:sz w:val="28"/>
          <w:szCs w:val="28"/>
          <w:u w:val="single"/>
        </w:rPr>
        <w:t>уведомление</w:t>
      </w:r>
      <w:r>
        <w:rPr>
          <w:rFonts w:ascii="Times New Roman" w:hAnsi="Times New Roman"/>
          <w:sz w:val="28"/>
          <w:szCs w:val="28"/>
        </w:rPr>
        <w:t xml:space="preserve">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p>
    <w:p w14:paraId="754A09D7">
      <w:pPr>
        <w:pStyle w:val="193"/>
        <w:ind w:left="0" w:firstLine="567"/>
        <w:rPr>
          <w:rFonts w:ascii="Times New Roman" w:hAnsi="Times New Roman"/>
          <w:sz w:val="28"/>
          <w:szCs w:val="28"/>
        </w:rPr>
      </w:pPr>
      <w:r>
        <w:rPr>
          <w:rFonts w:ascii="Times New Roman" w:hAnsi="Times New Roman"/>
          <w:sz w:val="28"/>
          <w:szCs w:val="28"/>
        </w:rPr>
        <w:t xml:space="preserve">Конкретные не зависящие от служащего (работника) обстоятельства приведены в части 4 статьи 13 Федерального закона от 25 декабря 2008 г. № 273-ФЗ "О противодействии коррупции".  </w:t>
      </w:r>
    </w:p>
    <w:p w14:paraId="2C49F1C3">
      <w:pPr>
        <w:pStyle w:val="193"/>
        <w:ind w:left="0" w:firstLine="567"/>
        <w:rPr>
          <w:rFonts w:ascii="Times New Roman" w:hAnsi="Times New Roman"/>
          <w:sz w:val="28"/>
          <w:szCs w:val="28"/>
        </w:rPr>
      </w:pPr>
      <w:r>
        <w:rPr>
          <w:rFonts w:ascii="Times New Roman" w:hAnsi="Times New Roman"/>
          <w:sz w:val="28"/>
          <w:szCs w:val="28"/>
        </w:rPr>
        <w:t>Примером не зависящих от физического лица обстоятельств могут быть стихийные бедствия (в том числе землетрясение, наводнение, ураган), пожар, массовые заболевания (эпидемии) и пр.</w:t>
      </w:r>
    </w:p>
    <w:p w14:paraId="4D54C454">
      <w:pPr>
        <w:pStyle w:val="193"/>
        <w:numPr>
          <w:ilvl w:val="0"/>
          <w:numId w:val="1"/>
        </w:numPr>
        <w:ind w:left="0" w:firstLine="567"/>
        <w:rPr>
          <w:rFonts w:ascii="Times New Roman" w:hAnsi="Times New Roman"/>
          <w:sz w:val="28"/>
          <w:szCs w:val="28"/>
        </w:rPr>
      </w:pPr>
      <w:r>
        <w:rPr>
          <w:rFonts w:ascii="Times New Roman" w:hAnsi="Times New Roman"/>
          <w:sz w:val="28"/>
          <w:szCs w:val="28"/>
        </w:rPr>
        <w:t>Исполнение обязанности представить Сведения должно быть обеспечено служащим (работником) не позднее чем через один месяц со дня прекращения действия не зависящих от него обстоятельств, препятствующих исполнению такой обязанности, если иное не установлено федеральными законами.</w:t>
      </w:r>
    </w:p>
    <w:p w14:paraId="1202D5E7">
      <w:pPr>
        <w:pStyle w:val="193"/>
        <w:ind w:left="567" w:firstLine="0"/>
        <w:rPr>
          <w:rFonts w:ascii="Times New Roman" w:hAnsi="Times New Roman"/>
          <w:sz w:val="28"/>
          <w:szCs w:val="28"/>
        </w:rPr>
      </w:pPr>
    </w:p>
    <w:bookmarkEnd w:id="24"/>
    <w:p w14:paraId="5F94590E">
      <w:pPr>
        <w:pStyle w:val="2"/>
        <w:spacing w:before="0" w:after="0"/>
        <w:ind w:firstLine="0"/>
        <w:jc w:val="center"/>
        <w:rPr>
          <w:rFonts w:ascii="Times New Roman" w:hAnsi="Times New Roman"/>
          <w:b/>
          <w:sz w:val="28"/>
          <w:szCs w:val="28"/>
        </w:rPr>
      </w:pPr>
      <w:bookmarkStart w:id="25" w:name="_Toc225936066"/>
      <w:r>
        <w:rPr>
          <w:rFonts w:ascii="Times New Roman" w:hAnsi="Times New Roman"/>
          <w:b/>
          <w:sz w:val="28"/>
          <w:szCs w:val="28"/>
          <w:lang w:val="en-US"/>
        </w:rPr>
        <w:t>II</w:t>
      </w:r>
      <w:r>
        <w:rPr>
          <w:rFonts w:ascii="Times New Roman" w:hAnsi="Times New Roman"/>
          <w:b/>
          <w:sz w:val="28"/>
          <w:szCs w:val="28"/>
        </w:rPr>
        <w:t xml:space="preserve">. Заполнение справки о доходах, расходах, </w:t>
      </w:r>
      <w:r>
        <w:rPr>
          <w:rFonts w:ascii="Times New Roman" w:hAnsi="Times New Roman" w:cs="Times New Roman"/>
          <w:b/>
          <w:sz w:val="28"/>
          <w:szCs w:val="28"/>
        </w:rPr>
        <w:br w:type="textWrapping"/>
      </w:r>
      <w:r>
        <w:rPr>
          <w:rFonts w:ascii="Times New Roman" w:hAnsi="Times New Roman" w:cs="Times New Roman"/>
          <w:b/>
          <w:sz w:val="28"/>
          <w:szCs w:val="28"/>
        </w:rPr>
        <w:t>об имуществе и обязательствах имущественного характера</w:t>
      </w:r>
      <w:bookmarkEnd w:id="25"/>
    </w:p>
    <w:p w14:paraId="5929514A">
      <w:pPr>
        <w:ind w:firstLine="851"/>
        <w:jc w:val="center"/>
        <w:rPr>
          <w:rFonts w:ascii="Times New Roman" w:hAnsi="Times New Roman"/>
          <w:b/>
          <w:sz w:val="28"/>
          <w:szCs w:val="28"/>
        </w:rPr>
      </w:pPr>
    </w:p>
    <w:p w14:paraId="2120709B">
      <w:pPr>
        <w:pStyle w:val="193"/>
        <w:numPr>
          <w:ilvl w:val="0"/>
          <w:numId w:val="1"/>
        </w:numPr>
        <w:ind w:left="0" w:firstLine="567"/>
        <w:rPr>
          <w:rFonts w:ascii="Times New Roman" w:hAnsi="Times New Roman"/>
          <w:sz w:val="28"/>
          <w:szCs w:val="28"/>
        </w:rPr>
      </w:pPr>
      <w:r>
        <w:rPr>
          <w:rFonts w:ascii="Times New Roman" w:hAnsi="Times New Roman"/>
          <w:sz w:val="28"/>
          <w:szCs w:val="28"/>
        </w:rPr>
        <w:t>Форма справки является унифицированной для всех лиц, на которых распространяется обязанность представлять Сведения.</w:t>
      </w:r>
    </w:p>
    <w:p w14:paraId="748CB349">
      <w:pPr>
        <w:pStyle w:val="193"/>
        <w:numPr>
          <w:ilvl w:val="0"/>
          <w:numId w:val="1"/>
        </w:numPr>
        <w:ind w:left="0" w:firstLine="567"/>
        <w:rPr>
          <w:rFonts w:ascii="Times New Roman" w:hAnsi="Times New Roman"/>
          <w:sz w:val="28"/>
          <w:szCs w:val="28"/>
        </w:rPr>
      </w:pPr>
      <w:r>
        <w:rPr>
          <w:rFonts w:ascii="Times New Roman" w:hAnsi="Times New Roman"/>
          <w:sz w:val="28"/>
          <w:szCs w:val="28"/>
        </w:rPr>
        <w:t>Справку рекомендуется заполнять на основании правоустанавливающих и иных подтверждающих официальных документов. Не рекомендуется пользоваться информацией, полученной по телефону, в том числе в виде смс-сообщения.</w:t>
      </w:r>
    </w:p>
    <w:p w14:paraId="54C6F493">
      <w:pPr>
        <w:pStyle w:val="193"/>
        <w:ind w:left="0" w:firstLine="567"/>
        <w:rPr>
          <w:rFonts w:ascii="Times New Roman" w:hAnsi="Times New Roman"/>
          <w:sz w:val="28"/>
          <w:szCs w:val="28"/>
        </w:rPr>
      </w:pPr>
      <w:r>
        <w:rPr>
          <w:rFonts w:ascii="Times New Roman" w:hAnsi="Times New Roman"/>
          <w:sz w:val="28"/>
          <w:szCs w:val="28"/>
        </w:rPr>
        <w:t xml:space="preserve">Например, заполнение справки на основании полученной информации из единой формы, установленной Указанием Банка России от 27 мая 2021 г. № 5798-У "О порядке предоставления кредитными организациями и некредитными финансовыми организациями гражданам сведений о наличии счетов и иной информации, необходимой для представления гражданами сведений о доходах, расходах, об имуществе и обязательствах имущественного характера, о единой форме предоставления сведений и порядке ее заполнения" (далее – Указание Банка России № 5798-У), является достаточным (за исключением случая, когда необходимая для заполнения справки информация отсутствует у соответствующей кредитной организации или некредитной финансовой организации и имеется у другой организации или государственного (муниципального) органа, и отдельных случаев, </w:t>
      </w:r>
      <w:r>
        <w:rPr>
          <w:rFonts w:ascii="Times New Roman" w:hAnsi="Times New Roman"/>
          <w:sz w:val="28"/>
        </w:rPr>
        <w:t>прямо указанных в настоящих Методических рекомендациях</w:t>
      </w:r>
      <w:r>
        <w:rPr>
          <w:rFonts w:ascii="Times New Roman" w:hAnsi="Times New Roman"/>
          <w:sz w:val="28"/>
          <w:szCs w:val="28"/>
        </w:rPr>
        <w:t>).</w:t>
      </w:r>
    </w:p>
    <w:p w14:paraId="2A770D3A">
      <w:pPr>
        <w:pStyle w:val="193"/>
        <w:ind w:left="0" w:firstLine="567"/>
        <w:rPr>
          <w:rFonts w:ascii="Times New Roman" w:hAnsi="Times New Roman"/>
          <w:sz w:val="28"/>
          <w:szCs w:val="28"/>
        </w:rPr>
      </w:pPr>
      <w:r>
        <w:rPr>
          <w:rFonts w:ascii="Times New Roman" w:hAnsi="Times New Roman"/>
          <w:sz w:val="28"/>
          <w:szCs w:val="28"/>
        </w:rPr>
        <w:t xml:space="preserve">К справке могут быть приложены любые документы, в том числе пояснения служащего (работника). При этом разделом 2 справки </w:t>
      </w:r>
      <w:r>
        <w:fldChar w:fldCharType="begin"/>
      </w:r>
      <w:r>
        <w:instrText xml:space="preserve"> HYPERLINK \l "Реестр" </w:instrText>
      </w:r>
      <w:r>
        <w:fldChar w:fldCharType="separate"/>
      </w:r>
      <w:r>
        <w:rPr>
          <w:rStyle w:val="17"/>
          <w:rFonts w:ascii="Times New Roman" w:hAnsi="Times New Roman"/>
          <w:sz w:val="28"/>
          <w:szCs w:val="28"/>
        </w:rPr>
        <w:t>предусмотрен случай</w:t>
      </w:r>
      <w:r>
        <w:rPr>
          <w:rStyle w:val="17"/>
          <w:rFonts w:ascii="Times New Roman" w:hAnsi="Times New Roman"/>
          <w:sz w:val="28"/>
          <w:szCs w:val="28"/>
        </w:rPr>
        <w:fldChar w:fldCharType="end"/>
      </w:r>
      <w:r>
        <w:rPr>
          <w:rFonts w:ascii="Times New Roman" w:hAnsi="Times New Roman"/>
          <w:sz w:val="28"/>
          <w:szCs w:val="28"/>
        </w:rPr>
        <w:t>, при котором к справке в обязательном порядке прилагаются соответствующие документы. В иных случаях приложение является правом служащего (работника).</w:t>
      </w:r>
    </w:p>
    <w:p w14:paraId="69A8BC6C">
      <w:pPr>
        <w:pStyle w:val="193"/>
        <w:numPr>
          <w:ilvl w:val="0"/>
          <w:numId w:val="1"/>
        </w:numPr>
        <w:ind w:left="0" w:firstLine="567"/>
        <w:rPr>
          <w:rFonts w:ascii="Times New Roman" w:hAnsi="Times New Roman"/>
          <w:sz w:val="28"/>
          <w:szCs w:val="28"/>
        </w:rPr>
      </w:pPr>
      <w:r>
        <w:rPr>
          <w:rFonts w:ascii="Times New Roman" w:hAnsi="Times New Roman"/>
          <w:sz w:val="28"/>
          <w:szCs w:val="28"/>
        </w:rPr>
        <w:t>Правоприменительная практика свидетельствует, что наиболее востребованными документами (источниками информации), на основании которых рекомендуется заполнять справку, являются следующие (таблица № 5):</w:t>
      </w:r>
    </w:p>
    <w:p w14:paraId="62B0AACB">
      <w:pPr>
        <w:pStyle w:val="193"/>
        <w:ind w:left="567" w:firstLine="0"/>
        <w:rPr>
          <w:rFonts w:ascii="Times New Roman" w:hAnsi="Times New Roman"/>
          <w:sz w:val="28"/>
          <w:szCs w:val="28"/>
        </w:rPr>
      </w:pPr>
    </w:p>
    <w:p w14:paraId="27E99383">
      <w:pPr>
        <w:pStyle w:val="193"/>
        <w:ind w:left="567" w:firstLine="0"/>
        <w:rPr>
          <w:rFonts w:ascii="Times New Roman" w:hAnsi="Times New Roman"/>
          <w:sz w:val="28"/>
          <w:szCs w:val="28"/>
        </w:rPr>
      </w:pPr>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63"/>
        <w:gridCol w:w="7932"/>
      </w:tblGrid>
      <w:tr w14:paraId="022B9E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tcPr>
          <w:p w14:paraId="7383A1A3">
            <w:pPr>
              <w:ind w:firstLine="0"/>
              <w:jc w:val="center"/>
              <w:rPr>
                <w:rFonts w:ascii="Times New Roman" w:hAnsi="Times New Roman"/>
                <w:b/>
                <w:sz w:val="28"/>
                <w:szCs w:val="28"/>
              </w:rPr>
            </w:pPr>
            <w:r>
              <w:rPr>
                <w:rFonts w:ascii="Times New Roman" w:hAnsi="Times New Roman"/>
                <w:b/>
                <w:sz w:val="28"/>
                <w:szCs w:val="28"/>
              </w:rPr>
              <w:t>Раздел (подраздел) справки</w:t>
            </w:r>
          </w:p>
        </w:tc>
        <w:tc>
          <w:tcPr>
            <w:tcW w:w="7932" w:type="dxa"/>
          </w:tcPr>
          <w:p w14:paraId="1BDCD6DD">
            <w:pPr>
              <w:ind w:firstLine="0"/>
              <w:jc w:val="center"/>
              <w:rPr>
                <w:rFonts w:ascii="Times New Roman" w:hAnsi="Times New Roman"/>
                <w:b/>
                <w:sz w:val="28"/>
                <w:szCs w:val="28"/>
              </w:rPr>
            </w:pPr>
            <w:r>
              <w:rPr>
                <w:rFonts w:ascii="Times New Roman" w:hAnsi="Times New Roman"/>
                <w:b/>
                <w:sz w:val="28"/>
                <w:szCs w:val="28"/>
              </w:rPr>
              <w:t>Источник информации</w:t>
            </w:r>
          </w:p>
        </w:tc>
      </w:tr>
      <w:tr w14:paraId="770B75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restart"/>
          </w:tcPr>
          <w:p w14:paraId="5900383A">
            <w:pPr>
              <w:ind w:firstLine="0"/>
              <w:rPr>
                <w:rFonts w:ascii="Times New Roman" w:hAnsi="Times New Roman"/>
                <w:sz w:val="28"/>
                <w:szCs w:val="28"/>
              </w:rPr>
            </w:pPr>
            <w:r>
              <w:rPr>
                <w:rFonts w:ascii="Times New Roman" w:hAnsi="Times New Roman"/>
                <w:sz w:val="28"/>
                <w:szCs w:val="28"/>
              </w:rPr>
              <w:t xml:space="preserve">Сведения </w:t>
            </w:r>
            <w:r>
              <w:rPr>
                <w:rFonts w:ascii="Times New Roman" w:hAnsi="Times New Roman"/>
                <w:sz w:val="28"/>
                <w:szCs w:val="28"/>
              </w:rPr>
              <w:br w:type="textWrapping"/>
            </w:r>
            <w:r>
              <w:rPr>
                <w:rFonts w:ascii="Times New Roman" w:hAnsi="Times New Roman"/>
                <w:sz w:val="28"/>
                <w:szCs w:val="28"/>
              </w:rPr>
              <w:t>о доходах</w:t>
            </w:r>
          </w:p>
        </w:tc>
        <w:tc>
          <w:tcPr>
            <w:tcW w:w="7932" w:type="dxa"/>
          </w:tcPr>
          <w:p w14:paraId="7879E322">
            <w:pPr>
              <w:ind w:firstLine="0"/>
              <w:rPr>
                <w:rFonts w:ascii="Times New Roman" w:hAnsi="Times New Roman"/>
                <w:sz w:val="28"/>
                <w:szCs w:val="28"/>
              </w:rPr>
            </w:pPr>
            <w:r>
              <w:rPr>
                <w:rFonts w:ascii="Times New Roman" w:hAnsi="Times New Roman"/>
                <w:sz w:val="28"/>
                <w:szCs w:val="28"/>
              </w:rPr>
              <w:t xml:space="preserve">Справка о доходах и суммах налога физического лица, которую можно получить у представителя нанимателя (работодателя) или  через Личный кабинет налогоплательщика (официальный сайт </w:t>
            </w:r>
            <w:r>
              <w:fldChar w:fldCharType="begin"/>
            </w:r>
            <w:r>
              <w:instrText xml:space="preserve"> HYPERLINK "https://lkfl2.nalog.ru/lkfl" </w:instrText>
            </w:r>
            <w:r>
              <w:fldChar w:fldCharType="separate"/>
            </w:r>
            <w:r>
              <w:rPr>
                <w:rStyle w:val="17"/>
                <w:rFonts w:ascii="Times New Roman" w:hAnsi="Times New Roman"/>
                <w:sz w:val="28"/>
                <w:szCs w:val="28"/>
              </w:rPr>
              <w:t>https://lkfl2.nalog.ru/lkfl</w:t>
            </w:r>
            <w:r>
              <w:rPr>
                <w:rStyle w:val="17"/>
                <w:rFonts w:ascii="Times New Roman" w:hAnsi="Times New Roman"/>
                <w:sz w:val="28"/>
                <w:szCs w:val="28"/>
              </w:rPr>
              <w:fldChar w:fldCharType="end"/>
            </w:r>
            <w:r>
              <w:rPr>
                <w:rFonts w:ascii="Times New Roman" w:hAnsi="Times New Roman"/>
                <w:sz w:val="28"/>
                <w:szCs w:val="28"/>
              </w:rPr>
              <w:t>)</w:t>
            </w:r>
          </w:p>
        </w:tc>
      </w:tr>
      <w:tr w14:paraId="78956F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14:paraId="2FDD1E40">
            <w:pPr>
              <w:ind w:firstLine="0"/>
              <w:rPr>
                <w:rFonts w:ascii="Times New Roman" w:hAnsi="Times New Roman"/>
                <w:sz w:val="28"/>
                <w:szCs w:val="28"/>
              </w:rPr>
            </w:pPr>
          </w:p>
        </w:tc>
        <w:tc>
          <w:tcPr>
            <w:tcW w:w="7932" w:type="dxa"/>
          </w:tcPr>
          <w:p w14:paraId="50DE3B4A">
            <w:pPr>
              <w:ind w:firstLine="0"/>
              <w:rPr>
                <w:rFonts w:ascii="Times New Roman" w:hAnsi="Times New Roman"/>
                <w:sz w:val="28"/>
                <w:szCs w:val="28"/>
              </w:rPr>
            </w:pPr>
            <w:r>
              <w:rPr>
                <w:rFonts w:ascii="Times New Roman" w:hAnsi="Times New Roman"/>
                <w:sz w:val="28"/>
                <w:szCs w:val="28"/>
              </w:rPr>
              <w:t xml:space="preserve">Справка о размере пенсии и иных социальных выплат (в том числе о пособии по временной нетрудоспособности), которую можно получить через Личный кабинет налогоплательщика (официальный сайт </w:t>
            </w:r>
            <w:r>
              <w:fldChar w:fldCharType="begin"/>
            </w:r>
            <w:r>
              <w:instrText xml:space="preserve"> HYPERLINK "https://lkfl2.nalog.ru/lkfl" </w:instrText>
            </w:r>
            <w:r>
              <w:fldChar w:fldCharType="separate"/>
            </w:r>
            <w:r>
              <w:rPr>
                <w:rStyle w:val="17"/>
                <w:rFonts w:ascii="Times New Roman" w:hAnsi="Times New Roman"/>
                <w:sz w:val="28"/>
                <w:szCs w:val="28"/>
              </w:rPr>
              <w:t>https://lkfl2.nalog.ru/lkfl</w:t>
            </w:r>
            <w:r>
              <w:rPr>
                <w:rStyle w:val="17"/>
                <w:rFonts w:ascii="Times New Roman" w:hAnsi="Times New Roman"/>
                <w:sz w:val="28"/>
                <w:szCs w:val="28"/>
              </w:rPr>
              <w:fldChar w:fldCharType="end"/>
            </w:r>
            <w:r>
              <w:rPr>
                <w:rFonts w:ascii="Times New Roman" w:hAnsi="Times New Roman"/>
                <w:sz w:val="28"/>
                <w:szCs w:val="28"/>
              </w:rPr>
              <w:t>) или посредством официального сайта Фонда пенсионного и социального страхования Российской Федерации (</w:t>
            </w:r>
            <w:r>
              <w:fldChar w:fldCharType="begin"/>
            </w:r>
            <w:r>
              <w:instrText xml:space="preserve"> HYPERLINK "https://sfr.gov.ru/" </w:instrText>
            </w:r>
            <w:r>
              <w:fldChar w:fldCharType="separate"/>
            </w:r>
            <w:r>
              <w:rPr>
                <w:rStyle w:val="17"/>
                <w:rFonts w:ascii="Times New Roman" w:hAnsi="Times New Roman"/>
                <w:sz w:val="28"/>
                <w:szCs w:val="28"/>
              </w:rPr>
              <w:t>https://sfr.gov.ru/</w:t>
            </w:r>
            <w:r>
              <w:rPr>
                <w:rStyle w:val="17"/>
                <w:rFonts w:ascii="Times New Roman" w:hAnsi="Times New Roman"/>
                <w:sz w:val="28"/>
                <w:szCs w:val="28"/>
              </w:rPr>
              <w:fldChar w:fldCharType="end"/>
            </w:r>
            <w:r>
              <w:rPr>
                <w:rFonts w:ascii="Times New Roman" w:hAnsi="Times New Roman"/>
                <w:sz w:val="28"/>
                <w:szCs w:val="28"/>
              </w:rPr>
              <w:t>)</w:t>
            </w:r>
          </w:p>
        </w:tc>
      </w:tr>
      <w:tr w14:paraId="5F007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vMerge w:val="continue"/>
          </w:tcPr>
          <w:p w14:paraId="5D563893">
            <w:pPr>
              <w:ind w:firstLine="0"/>
              <w:rPr>
                <w:rFonts w:ascii="Times New Roman" w:hAnsi="Times New Roman"/>
                <w:sz w:val="28"/>
                <w:szCs w:val="28"/>
              </w:rPr>
            </w:pPr>
          </w:p>
        </w:tc>
        <w:tc>
          <w:tcPr>
            <w:tcW w:w="7932" w:type="dxa"/>
          </w:tcPr>
          <w:p w14:paraId="4FC54BF9">
            <w:pPr>
              <w:ind w:firstLine="0"/>
              <w:rPr>
                <w:rFonts w:ascii="Times New Roman" w:hAnsi="Times New Roman"/>
                <w:sz w:val="28"/>
                <w:szCs w:val="28"/>
              </w:rPr>
            </w:pPr>
            <w:r>
              <w:rPr>
                <w:rFonts w:ascii="Times New Roman" w:hAnsi="Times New Roman"/>
                <w:sz w:val="28"/>
                <w:szCs w:val="28"/>
              </w:rPr>
              <w:t>Выписка о движении денежных средств по счету (в отношении доходов, которые могут подлежать отражению в строке "Иные доходы" раздела 1 (например, разовые сделки по продаже имущества)</w:t>
            </w:r>
          </w:p>
        </w:tc>
      </w:tr>
      <w:tr w14:paraId="0C11A5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tcPr>
          <w:p w14:paraId="2A324E91">
            <w:pPr>
              <w:ind w:firstLine="0"/>
              <w:rPr>
                <w:rFonts w:ascii="Times New Roman" w:hAnsi="Times New Roman"/>
                <w:sz w:val="28"/>
                <w:szCs w:val="28"/>
              </w:rPr>
            </w:pPr>
            <w:r>
              <w:rPr>
                <w:rFonts w:ascii="Times New Roman" w:hAnsi="Times New Roman"/>
                <w:sz w:val="28"/>
                <w:szCs w:val="28"/>
              </w:rPr>
              <w:t xml:space="preserve">Сведения </w:t>
            </w:r>
            <w:r>
              <w:rPr>
                <w:rFonts w:ascii="Times New Roman" w:hAnsi="Times New Roman"/>
                <w:sz w:val="28"/>
                <w:szCs w:val="28"/>
              </w:rPr>
              <w:br w:type="textWrapping"/>
            </w:r>
            <w:r>
              <w:rPr>
                <w:rFonts w:ascii="Times New Roman" w:hAnsi="Times New Roman"/>
                <w:sz w:val="28"/>
                <w:szCs w:val="28"/>
              </w:rPr>
              <w:t>о недвижимом имуществе</w:t>
            </w:r>
          </w:p>
        </w:tc>
        <w:tc>
          <w:tcPr>
            <w:tcW w:w="7932" w:type="dxa"/>
          </w:tcPr>
          <w:p w14:paraId="04AF7976">
            <w:pPr>
              <w:ind w:firstLine="0"/>
              <w:rPr>
                <w:rFonts w:ascii="Times New Roman" w:hAnsi="Times New Roman"/>
                <w:sz w:val="28"/>
                <w:szCs w:val="28"/>
              </w:rPr>
            </w:pPr>
            <w:r>
              <w:rPr>
                <w:rFonts w:ascii="Times New Roman" w:hAnsi="Times New Roman"/>
                <w:sz w:val="28"/>
                <w:szCs w:val="28"/>
              </w:rPr>
              <w:t xml:space="preserve">Регистрационные документы. </w:t>
            </w:r>
          </w:p>
          <w:p w14:paraId="66FCD203">
            <w:pPr>
              <w:ind w:firstLine="0"/>
              <w:rPr>
                <w:rFonts w:ascii="Times New Roman" w:hAnsi="Times New Roman"/>
                <w:sz w:val="28"/>
                <w:szCs w:val="28"/>
              </w:rPr>
            </w:pPr>
            <w:r>
              <w:rPr>
                <w:rFonts w:ascii="Times New Roman" w:hAnsi="Times New Roman"/>
                <w:sz w:val="28"/>
                <w:szCs w:val="28"/>
              </w:rPr>
              <w:t xml:space="preserve">Вместе с тем, зачастую, такое имущество является объектом налогообложения, в связи с чем ориентирующая информация может быть получена через Личный кабинет налогоплательщика (официальный сайт </w:t>
            </w:r>
            <w:r>
              <w:fldChar w:fldCharType="begin"/>
            </w:r>
            <w:r>
              <w:instrText xml:space="preserve"> HYPERLINK "https://lkfl2.nalog.ru/lkfl" </w:instrText>
            </w:r>
            <w:r>
              <w:fldChar w:fldCharType="separate"/>
            </w:r>
            <w:r>
              <w:rPr>
                <w:rStyle w:val="17"/>
                <w:rFonts w:ascii="Times New Roman" w:hAnsi="Times New Roman"/>
                <w:sz w:val="28"/>
                <w:szCs w:val="28"/>
              </w:rPr>
              <w:t>https://lkfl2.nalog.ru/lkfl</w:t>
            </w:r>
            <w:r>
              <w:rPr>
                <w:rStyle w:val="17"/>
                <w:rFonts w:ascii="Times New Roman" w:hAnsi="Times New Roman"/>
                <w:sz w:val="28"/>
                <w:szCs w:val="28"/>
              </w:rPr>
              <w:fldChar w:fldCharType="end"/>
            </w:r>
            <w:r>
              <w:rPr>
                <w:rFonts w:ascii="Times New Roman" w:hAnsi="Times New Roman"/>
                <w:sz w:val="28"/>
                <w:szCs w:val="28"/>
              </w:rPr>
              <w:t>)</w:t>
            </w:r>
          </w:p>
        </w:tc>
      </w:tr>
      <w:tr w14:paraId="0823B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tcPr>
          <w:p w14:paraId="7237C6CD">
            <w:pPr>
              <w:ind w:firstLine="0"/>
              <w:rPr>
                <w:rFonts w:ascii="Times New Roman" w:hAnsi="Times New Roman"/>
                <w:sz w:val="28"/>
                <w:szCs w:val="28"/>
              </w:rPr>
            </w:pPr>
            <w:r>
              <w:rPr>
                <w:rFonts w:ascii="Times New Roman" w:hAnsi="Times New Roman"/>
                <w:sz w:val="28"/>
                <w:szCs w:val="28"/>
              </w:rPr>
              <w:t xml:space="preserve">Сведения </w:t>
            </w:r>
            <w:r>
              <w:rPr>
                <w:rFonts w:ascii="Times New Roman" w:hAnsi="Times New Roman"/>
                <w:sz w:val="28"/>
                <w:szCs w:val="28"/>
              </w:rPr>
              <w:br w:type="textWrapping"/>
            </w:r>
            <w:r>
              <w:rPr>
                <w:rFonts w:ascii="Times New Roman" w:hAnsi="Times New Roman"/>
                <w:sz w:val="28"/>
                <w:szCs w:val="28"/>
              </w:rPr>
              <w:t>о транспортных средствах</w:t>
            </w:r>
          </w:p>
        </w:tc>
        <w:tc>
          <w:tcPr>
            <w:tcW w:w="7932" w:type="dxa"/>
          </w:tcPr>
          <w:p w14:paraId="1FF1F806">
            <w:pPr>
              <w:ind w:firstLine="0"/>
              <w:rPr>
                <w:rFonts w:ascii="Times New Roman" w:hAnsi="Times New Roman"/>
                <w:sz w:val="28"/>
                <w:szCs w:val="28"/>
              </w:rPr>
            </w:pPr>
            <w:r>
              <w:rPr>
                <w:rFonts w:ascii="Times New Roman" w:hAnsi="Times New Roman"/>
                <w:sz w:val="28"/>
                <w:szCs w:val="28"/>
              </w:rPr>
              <w:t>Регистрационные документы.</w:t>
            </w:r>
          </w:p>
          <w:p w14:paraId="60D28ACD">
            <w:pPr>
              <w:ind w:firstLine="0"/>
              <w:rPr>
                <w:rFonts w:ascii="Times New Roman" w:hAnsi="Times New Roman"/>
                <w:sz w:val="28"/>
                <w:szCs w:val="28"/>
              </w:rPr>
            </w:pPr>
            <w:r>
              <w:rPr>
                <w:rFonts w:ascii="Times New Roman" w:hAnsi="Times New Roman"/>
                <w:sz w:val="28"/>
                <w:szCs w:val="28"/>
              </w:rPr>
              <w:t xml:space="preserve">Вместе с тем, зачастую, такое имущество является объектом налогообложения, в связи с чем ориентирующая информация может быть получена через Личный кабинет налогоплательщика (официальный сайт </w:t>
            </w:r>
            <w:r>
              <w:fldChar w:fldCharType="begin"/>
            </w:r>
            <w:r>
              <w:instrText xml:space="preserve"> HYPERLINK "https://lkfl2.nalog.ru/lkfl" </w:instrText>
            </w:r>
            <w:r>
              <w:fldChar w:fldCharType="separate"/>
            </w:r>
            <w:r>
              <w:rPr>
                <w:rStyle w:val="17"/>
                <w:rFonts w:ascii="Times New Roman" w:hAnsi="Times New Roman"/>
                <w:sz w:val="28"/>
                <w:szCs w:val="28"/>
              </w:rPr>
              <w:t>https://lkfl2.nalog.ru/lkfl</w:t>
            </w:r>
            <w:r>
              <w:rPr>
                <w:rStyle w:val="17"/>
                <w:rFonts w:ascii="Times New Roman" w:hAnsi="Times New Roman"/>
                <w:sz w:val="28"/>
                <w:szCs w:val="28"/>
              </w:rPr>
              <w:fldChar w:fldCharType="end"/>
            </w:r>
            <w:r>
              <w:rPr>
                <w:rFonts w:ascii="Times New Roman" w:hAnsi="Times New Roman"/>
                <w:sz w:val="28"/>
                <w:szCs w:val="28"/>
              </w:rPr>
              <w:t>)</w:t>
            </w:r>
          </w:p>
        </w:tc>
      </w:tr>
      <w:tr w14:paraId="29F1E8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tcPr>
          <w:p w14:paraId="331157E0">
            <w:pPr>
              <w:ind w:firstLine="0"/>
              <w:rPr>
                <w:rFonts w:ascii="Times New Roman" w:hAnsi="Times New Roman"/>
                <w:sz w:val="28"/>
                <w:szCs w:val="28"/>
              </w:rPr>
            </w:pPr>
            <w:r>
              <w:rPr>
                <w:rFonts w:ascii="Times New Roman" w:hAnsi="Times New Roman"/>
                <w:sz w:val="28"/>
                <w:szCs w:val="28"/>
              </w:rPr>
              <w:t xml:space="preserve">Сведения </w:t>
            </w:r>
            <w:r>
              <w:rPr>
                <w:rFonts w:ascii="Times New Roman" w:hAnsi="Times New Roman"/>
                <w:sz w:val="28"/>
                <w:szCs w:val="28"/>
              </w:rPr>
              <w:br w:type="textWrapping"/>
            </w:r>
            <w:r>
              <w:rPr>
                <w:rFonts w:ascii="Times New Roman" w:hAnsi="Times New Roman"/>
                <w:sz w:val="28"/>
                <w:szCs w:val="28"/>
              </w:rPr>
              <w:t>о счетах в банках и иных кредитных организациях</w:t>
            </w:r>
          </w:p>
        </w:tc>
        <w:tc>
          <w:tcPr>
            <w:tcW w:w="7932" w:type="dxa"/>
          </w:tcPr>
          <w:p w14:paraId="5BFED44C">
            <w:pPr>
              <w:ind w:firstLine="0"/>
              <w:rPr>
                <w:rFonts w:ascii="Times New Roman" w:hAnsi="Times New Roman"/>
                <w:sz w:val="28"/>
                <w:szCs w:val="28"/>
              </w:rPr>
            </w:pPr>
            <w:r>
              <w:rPr>
                <w:rFonts w:ascii="Times New Roman" w:hAnsi="Times New Roman"/>
                <w:sz w:val="28"/>
                <w:szCs w:val="28"/>
              </w:rPr>
              <w:t xml:space="preserve">В первую очередь, целесообразно получить данные сведения через личный кабинет налогоплательщика (официальный сайт </w:t>
            </w:r>
            <w:r>
              <w:fldChar w:fldCharType="begin"/>
            </w:r>
            <w:r>
              <w:instrText xml:space="preserve"> HYPERLINK "https://lkfl2.nalog.ru/lkfl" </w:instrText>
            </w:r>
            <w:r>
              <w:fldChar w:fldCharType="separate"/>
            </w:r>
            <w:r>
              <w:rPr>
                <w:rStyle w:val="17"/>
                <w:rFonts w:ascii="Times New Roman" w:hAnsi="Times New Roman"/>
                <w:sz w:val="28"/>
                <w:szCs w:val="28"/>
              </w:rPr>
              <w:t>https://lkfl2.nalog.ru/lkfl</w:t>
            </w:r>
            <w:r>
              <w:rPr>
                <w:rStyle w:val="17"/>
                <w:rFonts w:ascii="Times New Roman" w:hAnsi="Times New Roman"/>
                <w:sz w:val="28"/>
                <w:szCs w:val="28"/>
              </w:rPr>
              <w:fldChar w:fldCharType="end"/>
            </w:r>
            <w:r>
              <w:rPr>
                <w:rFonts w:ascii="Times New Roman" w:hAnsi="Times New Roman"/>
                <w:sz w:val="28"/>
                <w:szCs w:val="28"/>
              </w:rPr>
              <w:t>).</w:t>
            </w:r>
          </w:p>
          <w:p w14:paraId="3B64ED57">
            <w:pPr>
              <w:ind w:firstLine="0"/>
              <w:rPr>
                <w:rFonts w:ascii="Times New Roman" w:hAnsi="Times New Roman"/>
                <w:sz w:val="28"/>
                <w:szCs w:val="28"/>
              </w:rPr>
            </w:pPr>
            <w:r>
              <w:rPr>
                <w:rFonts w:ascii="Times New Roman" w:hAnsi="Times New Roman"/>
                <w:sz w:val="28"/>
                <w:szCs w:val="28"/>
              </w:rPr>
              <w:t>Впоследствии указанные сведения получаются через банк (иную кредитную организацию) на основании Указания Банка России № 5798-У (как лично, так и с использованием средств дистанционного обслуживания клиента)</w:t>
            </w:r>
          </w:p>
        </w:tc>
      </w:tr>
      <w:tr w14:paraId="7D6720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tcPr>
          <w:p w14:paraId="35173418">
            <w:pPr>
              <w:ind w:firstLine="0"/>
              <w:rPr>
                <w:rFonts w:ascii="Times New Roman" w:hAnsi="Times New Roman"/>
                <w:sz w:val="28"/>
                <w:szCs w:val="28"/>
              </w:rPr>
            </w:pPr>
            <w:r>
              <w:rPr>
                <w:rFonts w:ascii="Times New Roman" w:hAnsi="Times New Roman"/>
                <w:sz w:val="28"/>
                <w:szCs w:val="28"/>
              </w:rPr>
              <w:t xml:space="preserve">Сведения </w:t>
            </w:r>
            <w:r>
              <w:rPr>
                <w:rFonts w:ascii="Times New Roman" w:hAnsi="Times New Roman"/>
                <w:sz w:val="28"/>
                <w:szCs w:val="28"/>
              </w:rPr>
              <w:br w:type="textWrapping"/>
            </w:r>
            <w:r>
              <w:rPr>
                <w:rFonts w:ascii="Times New Roman" w:hAnsi="Times New Roman"/>
                <w:sz w:val="28"/>
                <w:szCs w:val="28"/>
              </w:rPr>
              <w:t>о ценных бумагах</w:t>
            </w:r>
          </w:p>
        </w:tc>
        <w:tc>
          <w:tcPr>
            <w:tcW w:w="7932" w:type="dxa"/>
          </w:tcPr>
          <w:p w14:paraId="563654FC">
            <w:pPr>
              <w:ind w:firstLine="0"/>
              <w:rPr>
                <w:rFonts w:ascii="Times New Roman" w:hAnsi="Times New Roman"/>
                <w:sz w:val="28"/>
                <w:szCs w:val="28"/>
              </w:rPr>
            </w:pPr>
            <w:r>
              <w:rPr>
                <w:rFonts w:ascii="Times New Roman" w:hAnsi="Times New Roman"/>
                <w:sz w:val="28"/>
                <w:szCs w:val="28"/>
              </w:rPr>
              <w:t>Регистрационные документы</w:t>
            </w:r>
          </w:p>
        </w:tc>
      </w:tr>
      <w:tr w14:paraId="664C16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tcPr>
          <w:p w14:paraId="3C59B7A2">
            <w:pPr>
              <w:ind w:firstLine="0"/>
              <w:rPr>
                <w:rFonts w:ascii="Times New Roman" w:hAnsi="Times New Roman"/>
                <w:sz w:val="28"/>
                <w:szCs w:val="28"/>
              </w:rPr>
            </w:pPr>
            <w:r>
              <w:rPr>
                <w:rFonts w:ascii="Times New Roman" w:hAnsi="Times New Roman"/>
                <w:sz w:val="28"/>
                <w:szCs w:val="28"/>
              </w:rPr>
              <w:t xml:space="preserve">Сведения </w:t>
            </w:r>
            <w:r>
              <w:rPr>
                <w:rFonts w:ascii="Times New Roman" w:hAnsi="Times New Roman"/>
                <w:sz w:val="28"/>
                <w:szCs w:val="28"/>
              </w:rPr>
              <w:br w:type="textWrapping"/>
            </w:r>
            <w:r>
              <w:rPr>
                <w:rFonts w:ascii="Times New Roman" w:hAnsi="Times New Roman"/>
                <w:sz w:val="28"/>
                <w:szCs w:val="28"/>
              </w:rPr>
              <w:t>об объектах недвижимого имущества, находящихся в пользовании</w:t>
            </w:r>
          </w:p>
        </w:tc>
        <w:tc>
          <w:tcPr>
            <w:tcW w:w="7932" w:type="dxa"/>
          </w:tcPr>
          <w:p w14:paraId="58E69CE3">
            <w:pPr>
              <w:ind w:firstLine="0"/>
              <w:rPr>
                <w:rFonts w:ascii="Times New Roman" w:hAnsi="Times New Roman"/>
                <w:sz w:val="28"/>
                <w:szCs w:val="28"/>
              </w:rPr>
            </w:pPr>
            <w:r>
              <w:rPr>
                <w:rFonts w:ascii="Times New Roman" w:hAnsi="Times New Roman"/>
                <w:sz w:val="28"/>
                <w:szCs w:val="28"/>
              </w:rPr>
              <w:t xml:space="preserve">При наличии письменных оснований пользования – письменные основания </w:t>
            </w:r>
          </w:p>
        </w:tc>
      </w:tr>
      <w:tr w14:paraId="244FB9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3" w:type="dxa"/>
          </w:tcPr>
          <w:p w14:paraId="316160B2">
            <w:pPr>
              <w:ind w:firstLine="0"/>
              <w:rPr>
                <w:rFonts w:ascii="Times New Roman" w:hAnsi="Times New Roman"/>
                <w:sz w:val="28"/>
                <w:szCs w:val="28"/>
              </w:rPr>
            </w:pPr>
            <w:r>
              <w:rPr>
                <w:rFonts w:ascii="Times New Roman" w:hAnsi="Times New Roman"/>
                <w:sz w:val="28"/>
                <w:szCs w:val="28"/>
              </w:rPr>
              <w:t xml:space="preserve">Сведения </w:t>
            </w:r>
            <w:r>
              <w:rPr>
                <w:rFonts w:ascii="Times New Roman" w:hAnsi="Times New Roman"/>
                <w:sz w:val="28"/>
                <w:szCs w:val="28"/>
              </w:rPr>
              <w:br w:type="textWrapping"/>
            </w:r>
            <w:r>
              <w:rPr>
                <w:rFonts w:ascii="Times New Roman" w:hAnsi="Times New Roman"/>
                <w:sz w:val="28"/>
                <w:szCs w:val="28"/>
              </w:rPr>
              <w:t>о срочных обязательствах финансового характера</w:t>
            </w:r>
          </w:p>
        </w:tc>
        <w:tc>
          <w:tcPr>
            <w:tcW w:w="7932" w:type="dxa"/>
          </w:tcPr>
          <w:p w14:paraId="7BA26C36">
            <w:pPr>
              <w:ind w:firstLine="0"/>
              <w:rPr>
                <w:rFonts w:ascii="Times New Roman" w:hAnsi="Times New Roman"/>
                <w:sz w:val="28"/>
                <w:szCs w:val="28"/>
              </w:rPr>
            </w:pPr>
            <w:r>
              <w:rPr>
                <w:rFonts w:ascii="Times New Roman" w:hAnsi="Times New Roman"/>
                <w:sz w:val="28"/>
                <w:szCs w:val="28"/>
              </w:rPr>
              <w:t xml:space="preserve">При наличии письменных оснований возникновения обязательства – письменные основания. </w:t>
            </w:r>
          </w:p>
          <w:p w14:paraId="7FC76381">
            <w:pPr>
              <w:ind w:firstLine="0"/>
              <w:rPr>
                <w:rFonts w:ascii="Times New Roman" w:hAnsi="Times New Roman"/>
                <w:sz w:val="28"/>
                <w:szCs w:val="28"/>
              </w:rPr>
            </w:pPr>
            <w:r>
              <w:rPr>
                <w:rFonts w:ascii="Times New Roman" w:hAnsi="Times New Roman"/>
                <w:sz w:val="28"/>
                <w:szCs w:val="28"/>
              </w:rPr>
              <w:t>В отношении обязательств, стороной которых является банк (иная кредитная организация) – сведения получаются через банк (иную кредитную организацию) на основании Указания Банка России № 5798-У (как лично, так и с использованием средств дистанционного обслуживания клиента)</w:t>
            </w:r>
          </w:p>
        </w:tc>
      </w:tr>
    </w:tbl>
    <w:p w14:paraId="7704FB9F">
      <w:pPr>
        <w:rPr>
          <w:rFonts w:ascii="Times New Roman" w:hAnsi="Times New Roman"/>
          <w:sz w:val="28"/>
          <w:szCs w:val="28"/>
        </w:rPr>
      </w:pPr>
    </w:p>
    <w:p w14:paraId="09FAC332">
      <w:pPr>
        <w:ind w:firstLine="567"/>
        <w:rPr>
          <w:rFonts w:ascii="Times New Roman" w:hAnsi="Times New Roman"/>
          <w:sz w:val="28"/>
          <w:szCs w:val="28"/>
        </w:rPr>
      </w:pPr>
      <w:r>
        <w:rPr>
          <w:rFonts w:ascii="Times New Roman" w:hAnsi="Times New Roman"/>
          <w:sz w:val="28"/>
          <w:szCs w:val="28"/>
        </w:rPr>
        <w:t>Ряд сведений также доступен на Портале государственных услуг Российской Федерации (</w:t>
      </w:r>
      <w:r>
        <w:fldChar w:fldCharType="begin"/>
      </w:r>
      <w:r>
        <w:instrText xml:space="preserve"> HYPERLINK "https://www.gosuslugi.ru/" </w:instrText>
      </w:r>
      <w:r>
        <w:fldChar w:fldCharType="separate"/>
      </w:r>
      <w:r>
        <w:rPr>
          <w:rStyle w:val="17"/>
          <w:rFonts w:ascii="Times New Roman" w:hAnsi="Times New Roman"/>
          <w:sz w:val="28"/>
          <w:szCs w:val="28"/>
        </w:rPr>
        <w:t>https://www.gosuslugi.ru/</w:t>
      </w:r>
      <w:r>
        <w:rPr>
          <w:rStyle w:val="17"/>
          <w:rFonts w:ascii="Times New Roman" w:hAnsi="Times New Roman"/>
          <w:sz w:val="28"/>
          <w:szCs w:val="28"/>
        </w:rPr>
        <w:fldChar w:fldCharType="end"/>
      </w:r>
      <w:r>
        <w:rPr>
          <w:rFonts w:ascii="Times New Roman" w:hAnsi="Times New Roman"/>
          <w:sz w:val="28"/>
          <w:szCs w:val="28"/>
        </w:rPr>
        <w:t>).</w:t>
      </w:r>
    </w:p>
    <w:p w14:paraId="718C4D2F">
      <w:pPr>
        <w:ind w:firstLine="567"/>
        <w:rPr>
          <w:rFonts w:ascii="Times New Roman" w:hAnsi="Times New Roman"/>
          <w:sz w:val="28"/>
          <w:szCs w:val="28"/>
        </w:rPr>
      </w:pPr>
      <w:r>
        <w:rPr>
          <w:rFonts w:ascii="Times New Roman" w:hAnsi="Times New Roman"/>
          <w:sz w:val="28"/>
          <w:szCs w:val="28"/>
        </w:rPr>
        <w:t xml:space="preserve">Отдельные примеры конкретных источников информации указаны </w:t>
      </w:r>
      <w:r>
        <w:rPr>
          <w:rFonts w:ascii="Times New Roman" w:hAnsi="Times New Roman"/>
          <w:sz w:val="28"/>
        </w:rPr>
        <w:t>в применимых положениях настоящих Методических рекомендаций</w:t>
      </w:r>
      <w:r>
        <w:rPr>
          <w:rFonts w:ascii="Times New Roman" w:hAnsi="Times New Roman"/>
          <w:sz w:val="28"/>
          <w:szCs w:val="28"/>
        </w:rPr>
        <w:t>.</w:t>
      </w:r>
    </w:p>
    <w:p w14:paraId="07027D0C">
      <w:pPr>
        <w:pStyle w:val="193"/>
        <w:numPr>
          <w:ilvl w:val="0"/>
          <w:numId w:val="1"/>
        </w:numPr>
        <w:ind w:left="0" w:firstLine="567"/>
        <w:rPr>
          <w:rFonts w:ascii="Times New Roman" w:hAnsi="Times New Roman"/>
          <w:sz w:val="28"/>
          <w:szCs w:val="28"/>
        </w:rPr>
      </w:pPr>
      <w:r>
        <w:rPr>
          <w:rFonts w:ascii="Times New Roman" w:hAnsi="Times New Roman"/>
          <w:sz w:val="28"/>
          <w:szCs w:val="28"/>
        </w:rPr>
        <w:t>Справка заполняется с использованием актуальной на дату представления Сведений версии СПО "Справки БК".</w:t>
      </w:r>
    </w:p>
    <w:p w14:paraId="236D2298">
      <w:pPr>
        <w:pStyle w:val="193"/>
        <w:numPr>
          <w:ilvl w:val="0"/>
          <w:numId w:val="1"/>
        </w:numPr>
        <w:ind w:left="0" w:firstLine="567"/>
        <w:rPr>
          <w:rFonts w:ascii="Times New Roman" w:hAnsi="Times New Roman"/>
          <w:sz w:val="28"/>
          <w:szCs w:val="28"/>
        </w:rPr>
      </w:pPr>
      <w:r>
        <w:rPr>
          <w:rFonts w:ascii="Times New Roman" w:hAnsi="Times New Roman"/>
          <w:sz w:val="28"/>
          <w:szCs w:val="28"/>
        </w:rPr>
        <w:t>Оценка актуальности версии СПО "Справки БК" осуществляется при приеме справки.</w:t>
      </w:r>
    </w:p>
    <w:p w14:paraId="2CD4DB97">
      <w:pPr>
        <w:pStyle w:val="193"/>
        <w:ind w:left="0" w:firstLine="567"/>
        <w:rPr>
          <w:rFonts w:ascii="Times New Roman" w:hAnsi="Times New Roman"/>
          <w:sz w:val="28"/>
          <w:szCs w:val="28"/>
        </w:rPr>
      </w:pPr>
      <w:r>
        <w:rPr>
          <w:rFonts w:ascii="Times New Roman" w:hAnsi="Times New Roman"/>
          <w:sz w:val="28"/>
          <w:szCs w:val="28"/>
        </w:rPr>
        <w:t>При печати справки формируются зоны со служебной информацией (штриховые коды и т.п.), нанесение каких-либо пометок на которые не допускается.</w:t>
      </w:r>
    </w:p>
    <w:p w14:paraId="7CF8F66F">
      <w:pPr>
        <w:pStyle w:val="193"/>
        <w:numPr>
          <w:ilvl w:val="0"/>
          <w:numId w:val="1"/>
        </w:numPr>
        <w:ind w:left="0" w:firstLine="567"/>
        <w:rPr>
          <w:rFonts w:ascii="Times New Roman" w:hAnsi="Times New Roman"/>
          <w:sz w:val="28"/>
          <w:szCs w:val="28"/>
        </w:rPr>
      </w:pPr>
      <w:r>
        <w:rPr>
          <w:rFonts w:ascii="Times New Roman" w:hAnsi="Times New Roman"/>
          <w:sz w:val="28"/>
          <w:szCs w:val="28"/>
        </w:rPr>
        <w:t>Актуальная версия СПО "Справки БК" размещена на официальном сайте Президента Российской Федерации (</w:t>
      </w:r>
      <w:r>
        <w:fldChar w:fldCharType="begin"/>
      </w:r>
      <w:r>
        <w:instrText xml:space="preserve"> HYPERLINK "http://www.kremlin.ru/structure/additional/12" </w:instrText>
      </w:r>
      <w:r>
        <w:fldChar w:fldCharType="separate"/>
      </w:r>
      <w:r>
        <w:rPr>
          <w:rStyle w:val="17"/>
          <w:rFonts w:ascii="Times New Roman" w:hAnsi="Times New Roman"/>
          <w:sz w:val="28"/>
          <w:szCs w:val="28"/>
        </w:rPr>
        <w:t>http://www.kremlin.ru/structure/additional/12</w:t>
      </w:r>
      <w:r>
        <w:rPr>
          <w:rStyle w:val="17"/>
          <w:rFonts w:ascii="Times New Roman" w:hAnsi="Times New Roman"/>
          <w:sz w:val="28"/>
          <w:szCs w:val="28"/>
        </w:rPr>
        <w:fldChar w:fldCharType="end"/>
      </w:r>
      <w:r>
        <w:rPr>
          <w:rFonts w:ascii="Times New Roman" w:hAnsi="Times New Roman"/>
          <w:sz w:val="28"/>
          <w:szCs w:val="28"/>
        </w:rPr>
        <w:t>), ссылка на который также размещена на официальном сайте федеральной государственной информационной системы "Единая информационная система управления кадровым составом государственной гражданской службы Российской Федерации" (</w:t>
      </w:r>
      <w:r>
        <w:fldChar w:fldCharType="begin"/>
      </w:r>
      <w:r>
        <w:instrText xml:space="preserve"> HYPERLINK "https://gossluzhba.gov.ru/anticorruption/spravki_bk" \o "https://gossluzhba.gov.ru/anticorruption/spravki_bk" </w:instrText>
      </w:r>
      <w:r>
        <w:fldChar w:fldCharType="separate"/>
      </w:r>
      <w:r>
        <w:rPr>
          <w:rStyle w:val="17"/>
          <w:rFonts w:ascii="Times New Roman" w:hAnsi="Times New Roman"/>
          <w:sz w:val="28"/>
          <w:szCs w:val="28"/>
        </w:rPr>
        <w:t>https://gossluzhba.gov.ru/anticorruption/spravki_bk</w:t>
      </w:r>
      <w:r>
        <w:rPr>
          <w:rStyle w:val="17"/>
          <w:rFonts w:ascii="Times New Roman" w:hAnsi="Times New Roman"/>
          <w:sz w:val="28"/>
          <w:szCs w:val="28"/>
        </w:rPr>
        <w:fldChar w:fldCharType="end"/>
      </w:r>
      <w:r>
        <w:rPr>
          <w:rFonts w:ascii="Times New Roman" w:hAnsi="Times New Roman"/>
          <w:sz w:val="28"/>
          <w:szCs w:val="28"/>
        </w:rPr>
        <w:t>).</w:t>
      </w:r>
    </w:p>
    <w:p w14:paraId="5F091D7D">
      <w:pPr>
        <w:pStyle w:val="193"/>
        <w:numPr>
          <w:ilvl w:val="0"/>
          <w:numId w:val="1"/>
        </w:numPr>
        <w:tabs>
          <w:tab w:val="left" w:pos="1134"/>
        </w:tabs>
        <w:ind w:left="0" w:firstLine="567"/>
        <w:rPr>
          <w:rFonts w:ascii="Times New Roman" w:hAnsi="Times New Roman"/>
          <w:sz w:val="28"/>
          <w:szCs w:val="28"/>
        </w:rPr>
      </w:pPr>
      <w:r>
        <w:rPr>
          <w:rFonts w:ascii="Times New Roman" w:hAnsi="Times New Roman"/>
          <w:sz w:val="28"/>
          <w:szCs w:val="28"/>
        </w:rPr>
        <w:t>При заполнении справок с использованием СПО "Справки БК" личной подписью заверяется только последний лист справки.</w:t>
      </w:r>
      <w:r>
        <w:rPr>
          <w:rFonts w:ascii="Times New Roman" w:hAnsi="Times New Roman"/>
          <w:color w:val="1F497D"/>
          <w:sz w:val="28"/>
          <w:szCs w:val="28"/>
        </w:rPr>
        <w:t xml:space="preserve"> </w:t>
      </w:r>
      <w:r>
        <w:rPr>
          <w:rFonts w:ascii="Times New Roman" w:hAnsi="Times New Roman"/>
          <w:sz w:val="28"/>
          <w:szCs w:val="28"/>
        </w:rPr>
        <w:t>Наличие подписи на каждом листе (в пустой части страницы) не является нарушением.</w:t>
      </w:r>
      <w:r>
        <w:rPr>
          <w:rFonts w:ascii="Times New Roman" w:hAnsi="Times New Roman"/>
          <w:b/>
          <w:sz w:val="28"/>
          <w:szCs w:val="28"/>
        </w:rPr>
        <w:t xml:space="preserve"> </w:t>
      </w:r>
      <w:r>
        <w:rPr>
          <w:rFonts w:ascii="Times New Roman" w:hAnsi="Times New Roman"/>
          <w:sz w:val="28"/>
          <w:szCs w:val="28"/>
        </w:rPr>
        <w:t xml:space="preserve">Лицу, представляющему справки, рекомендуется распечатать, подписать и представить справки в течение одного дня (одной датой). </w:t>
      </w:r>
    </w:p>
    <w:p w14:paraId="5E07BBFA">
      <w:pPr>
        <w:pStyle w:val="193"/>
        <w:tabs>
          <w:tab w:val="left" w:pos="1134"/>
        </w:tabs>
        <w:ind w:left="0" w:firstLine="567"/>
        <w:rPr>
          <w:rFonts w:ascii="Times New Roman" w:hAnsi="Times New Roman"/>
          <w:sz w:val="28"/>
          <w:szCs w:val="28"/>
        </w:rPr>
      </w:pPr>
      <w:r>
        <w:rPr>
          <w:rFonts w:ascii="Times New Roman" w:hAnsi="Times New Roman"/>
          <w:sz w:val="28"/>
          <w:szCs w:val="28"/>
        </w:rPr>
        <w:t>Законодательством Российской Федерации не предусмотрена возможность подписания справки иным лицом вместо служащего (работника), представляющего такую справку.</w:t>
      </w:r>
    </w:p>
    <w:p w14:paraId="76130492">
      <w:pPr>
        <w:pStyle w:val="193"/>
        <w:ind w:left="0" w:firstLine="567"/>
        <w:rPr>
          <w:rFonts w:ascii="Times New Roman" w:hAnsi="Times New Roman"/>
          <w:sz w:val="28"/>
          <w:szCs w:val="28"/>
        </w:rPr>
      </w:pPr>
      <w:r>
        <w:rPr>
          <w:rFonts w:ascii="Times New Roman" w:hAnsi="Times New Roman"/>
          <w:sz w:val="28"/>
          <w:szCs w:val="28"/>
        </w:rPr>
        <w:t>При этом следует избегать ситуаций, при которых дата печати справки, автоматически формируемая в правом нижнем углу каждого листа справки, будет ранее отчетной даты, указываемой на титульном листе справки, или позднее даты заверения достоверности и полноты на последнем листе справки.</w:t>
      </w:r>
    </w:p>
    <w:p w14:paraId="52A345CE">
      <w:pPr>
        <w:pStyle w:val="193"/>
        <w:ind w:left="0" w:firstLine="567"/>
        <w:rPr>
          <w:rFonts w:ascii="Times New Roman" w:hAnsi="Times New Roman"/>
          <w:sz w:val="28"/>
          <w:szCs w:val="28"/>
        </w:rPr>
      </w:pPr>
      <w:r>
        <w:rPr>
          <w:rFonts w:ascii="Times New Roman" w:hAnsi="Times New Roman"/>
          <w:sz w:val="28"/>
          <w:szCs w:val="28"/>
        </w:rPr>
        <w:t>Также не рекомендуется осуществлять подмену листов справки, листами, напечатанными в иной момент времени. При этом листы одной справки не следует менять и вставлять в другие справки, даже если они содержат идентичную информацию и время печати.</w:t>
      </w:r>
    </w:p>
    <w:p w14:paraId="5CB9D7E9">
      <w:pPr>
        <w:pStyle w:val="193"/>
        <w:ind w:left="0" w:firstLine="567"/>
        <w:rPr>
          <w:rFonts w:ascii="Times New Roman" w:hAnsi="Times New Roman"/>
          <w:sz w:val="28"/>
          <w:szCs w:val="28"/>
        </w:rPr>
      </w:pPr>
      <w:r>
        <w:rPr>
          <w:rFonts w:ascii="Times New Roman" w:hAnsi="Times New Roman"/>
          <w:sz w:val="28"/>
          <w:szCs w:val="28"/>
        </w:rPr>
        <w:t xml:space="preserve">Согласно Инструкции о порядке заполнения справки о доходах, расходах, об имуществе и обязательствах имущественного характера с использованием СПО "Справки БК" необходимо учитывать следующее: </w:t>
      </w:r>
    </w:p>
    <w:p w14:paraId="609CEAF2">
      <w:pPr>
        <w:pStyle w:val="193"/>
        <w:ind w:left="0" w:firstLine="567"/>
        <w:rPr>
          <w:rFonts w:ascii="Times New Roman" w:hAnsi="Times New Roman"/>
          <w:sz w:val="28"/>
          <w:szCs w:val="28"/>
        </w:rPr>
      </w:pPr>
      <w:r>
        <w:rPr>
          <w:rFonts w:ascii="Times New Roman" w:hAnsi="Times New Roman"/>
          <w:sz w:val="28"/>
          <w:szCs w:val="28"/>
        </w:rPr>
        <w:t xml:space="preserve">- для печати справок используется лазерный принтер, обеспечивающий качественную печать; </w:t>
      </w:r>
    </w:p>
    <w:p w14:paraId="7EEE35EE">
      <w:pPr>
        <w:pStyle w:val="193"/>
        <w:ind w:left="0" w:firstLine="567"/>
        <w:rPr>
          <w:rFonts w:ascii="Times New Roman" w:hAnsi="Times New Roman"/>
          <w:sz w:val="28"/>
          <w:szCs w:val="28"/>
        </w:rPr>
      </w:pPr>
      <w:r>
        <w:rPr>
          <w:rFonts w:ascii="Times New Roman" w:hAnsi="Times New Roman"/>
          <w:sz w:val="28"/>
          <w:szCs w:val="28"/>
        </w:rPr>
        <w:t xml:space="preserve">- не допускаются дефекты печати в виде полос, пятен (при дефектах барабана или картриджа принтера); </w:t>
      </w:r>
    </w:p>
    <w:p w14:paraId="1397DA82">
      <w:pPr>
        <w:pStyle w:val="193"/>
        <w:ind w:left="0" w:firstLine="567"/>
        <w:rPr>
          <w:rFonts w:ascii="Times New Roman" w:hAnsi="Times New Roman"/>
          <w:sz w:val="28"/>
          <w:szCs w:val="28"/>
        </w:rPr>
      </w:pPr>
      <w:r>
        <w:rPr>
          <w:rFonts w:ascii="Times New Roman" w:hAnsi="Times New Roman"/>
          <w:sz w:val="28"/>
          <w:szCs w:val="28"/>
        </w:rPr>
        <w:t>- не допускается наличие подписи и пометок на линейных и двумерных штрих-кодах (подпись на справке может быть поставлена в правом нижнем углу всех страниц, кроме последней. На последней странице подпись ставится в специально отведенном месте);</w:t>
      </w:r>
    </w:p>
    <w:p w14:paraId="43A66832">
      <w:pPr>
        <w:pStyle w:val="193"/>
        <w:ind w:left="0" w:firstLine="567"/>
        <w:rPr>
          <w:rFonts w:ascii="Times New Roman" w:hAnsi="Times New Roman"/>
          <w:sz w:val="28"/>
          <w:szCs w:val="28"/>
        </w:rPr>
      </w:pPr>
      <w:r>
        <w:rPr>
          <w:rFonts w:ascii="Times New Roman" w:hAnsi="Times New Roman"/>
          <w:sz w:val="28"/>
          <w:szCs w:val="28"/>
        </w:rPr>
        <w:t xml:space="preserve">- не допускаются рукописные правки. </w:t>
      </w:r>
    </w:p>
    <w:p w14:paraId="61F81E21">
      <w:pPr>
        <w:pStyle w:val="193"/>
        <w:tabs>
          <w:tab w:val="left" w:pos="1134"/>
        </w:tabs>
        <w:ind w:left="0" w:firstLine="567"/>
        <w:rPr>
          <w:rFonts w:ascii="Times New Roman" w:hAnsi="Times New Roman"/>
          <w:sz w:val="28"/>
          <w:szCs w:val="28"/>
        </w:rPr>
      </w:pPr>
      <w:r>
        <w:rPr>
          <w:rFonts w:ascii="Times New Roman" w:hAnsi="Times New Roman"/>
          <w:sz w:val="28"/>
          <w:szCs w:val="28"/>
        </w:rPr>
        <w:t xml:space="preserve">Справки не следует прошивать и фиксировать скрепкой. </w:t>
      </w:r>
    </w:p>
    <w:p w14:paraId="06A8BB46">
      <w:pPr>
        <w:pStyle w:val="193"/>
        <w:tabs>
          <w:tab w:val="left" w:pos="1134"/>
        </w:tabs>
        <w:ind w:left="0" w:firstLine="567"/>
        <w:rPr>
          <w:rFonts w:ascii="Times New Roman" w:hAnsi="Times New Roman"/>
          <w:sz w:val="28"/>
          <w:szCs w:val="28"/>
        </w:rPr>
      </w:pPr>
      <w:r>
        <w:rPr>
          <w:rFonts w:ascii="Times New Roman" w:hAnsi="Times New Roman"/>
          <w:sz w:val="28"/>
          <w:szCs w:val="28"/>
        </w:rPr>
        <w:t xml:space="preserve">Печатать справки рекомендуется только на одной стороне листа. </w:t>
      </w:r>
    </w:p>
    <w:p w14:paraId="12251365">
      <w:pPr>
        <w:pStyle w:val="193"/>
        <w:numPr>
          <w:ilvl w:val="0"/>
          <w:numId w:val="1"/>
        </w:numPr>
        <w:tabs>
          <w:tab w:val="left" w:pos="1134"/>
        </w:tabs>
        <w:ind w:left="0" w:firstLine="567"/>
        <w:rPr>
          <w:rFonts w:ascii="Times New Roman" w:hAnsi="Times New Roman"/>
          <w:sz w:val="28"/>
          <w:szCs w:val="28"/>
        </w:rPr>
      </w:pPr>
      <w:bookmarkStart w:id="26" w:name="Справка"/>
      <w:r>
        <w:rPr>
          <w:rFonts w:ascii="Times New Roman" w:hAnsi="Times New Roman"/>
          <w:sz w:val="28"/>
          <w:szCs w:val="28"/>
        </w:rPr>
        <w:t xml:space="preserve">В справке применимые сведения, выраженные в иностранной валюте, указываются в рублях по курсу Банка России на соответствующую дату. Сведения об официальных курсах валют на заданную дату, устанавливаемых Банком России, размещены на его официальном сайте: </w:t>
      </w:r>
      <w:r>
        <w:fldChar w:fldCharType="begin"/>
      </w:r>
      <w:r>
        <w:instrText xml:space="preserve"> HYPERLINK "https://www.cbr.ru/currency_base/daily/" </w:instrText>
      </w:r>
      <w:r>
        <w:fldChar w:fldCharType="separate"/>
      </w:r>
      <w:r>
        <w:rPr>
          <w:rStyle w:val="17"/>
          <w:rFonts w:ascii="Times New Roman" w:hAnsi="Times New Roman"/>
          <w:sz w:val="28"/>
          <w:szCs w:val="28"/>
        </w:rPr>
        <w:t>https://www.cbr.ru/currency_base/daily/</w:t>
      </w:r>
      <w:r>
        <w:rPr>
          <w:rStyle w:val="17"/>
          <w:rFonts w:ascii="Times New Roman" w:hAnsi="Times New Roman"/>
          <w:sz w:val="28"/>
          <w:szCs w:val="28"/>
        </w:rPr>
        <w:fldChar w:fldCharType="end"/>
      </w:r>
      <w:r>
        <w:rPr>
          <w:rFonts w:ascii="Times New Roman" w:hAnsi="Times New Roman"/>
          <w:sz w:val="28"/>
          <w:szCs w:val="28"/>
        </w:rPr>
        <w:t>. Если Банком России не установлен официальный курс валюты, то допускается использование данных из официальных источников в информационно-телекоммуникационной сети "Интернет" (например, информации с официального сайта кредитной организации в информационно-телекоммуникационной сети "Интернет").</w:t>
      </w:r>
      <w:bookmarkEnd w:id="26"/>
    </w:p>
    <w:p w14:paraId="3365CE8D">
      <w:pPr>
        <w:pStyle w:val="193"/>
        <w:tabs>
          <w:tab w:val="left" w:pos="851"/>
        </w:tabs>
        <w:ind w:left="0" w:firstLine="0"/>
        <w:jc w:val="center"/>
        <w:rPr>
          <w:rFonts w:ascii="Times New Roman" w:hAnsi="Times New Roman"/>
          <w:b/>
          <w:sz w:val="28"/>
          <w:szCs w:val="28"/>
        </w:rPr>
      </w:pPr>
    </w:p>
    <w:p w14:paraId="63B1CE4A">
      <w:pPr>
        <w:pStyle w:val="193"/>
        <w:tabs>
          <w:tab w:val="left" w:pos="851"/>
        </w:tabs>
        <w:ind w:left="0" w:firstLine="0"/>
        <w:jc w:val="center"/>
        <w:outlineLvl w:val="1"/>
        <w:rPr>
          <w:rFonts w:ascii="Times New Roman" w:hAnsi="Times New Roman"/>
          <w:b/>
          <w:sz w:val="28"/>
          <w:szCs w:val="28"/>
        </w:rPr>
      </w:pPr>
      <w:bookmarkStart w:id="27" w:name="_Toc225936067"/>
      <w:r>
        <w:rPr>
          <w:rFonts w:ascii="Times New Roman" w:hAnsi="Times New Roman"/>
          <w:b/>
          <w:sz w:val="28"/>
          <w:szCs w:val="28"/>
        </w:rPr>
        <w:t>ТИТУЛЬНЫЙ ЛИСТ</w:t>
      </w:r>
      <w:bookmarkEnd w:id="27"/>
    </w:p>
    <w:p w14:paraId="3743C945">
      <w:pPr>
        <w:pStyle w:val="193"/>
        <w:tabs>
          <w:tab w:val="left" w:pos="851"/>
        </w:tabs>
        <w:ind w:left="0" w:firstLine="851"/>
        <w:jc w:val="center"/>
        <w:rPr>
          <w:rFonts w:ascii="Times New Roman" w:hAnsi="Times New Roman"/>
          <w:b/>
          <w:sz w:val="28"/>
          <w:szCs w:val="28"/>
        </w:rPr>
      </w:pPr>
    </w:p>
    <w:p w14:paraId="3E8D347B">
      <w:pPr>
        <w:pStyle w:val="193"/>
        <w:numPr>
          <w:ilvl w:val="0"/>
          <w:numId w:val="1"/>
        </w:numPr>
        <w:tabs>
          <w:tab w:val="left" w:pos="567"/>
        </w:tabs>
        <w:ind w:left="0" w:firstLine="567"/>
        <w:rPr>
          <w:rFonts w:ascii="Times New Roman" w:hAnsi="Times New Roman"/>
          <w:sz w:val="28"/>
          <w:szCs w:val="28"/>
        </w:rPr>
      </w:pPr>
      <w:r>
        <w:rPr>
          <w:rFonts w:ascii="Times New Roman" w:hAnsi="Times New Roman"/>
          <w:bCs/>
          <w:sz w:val="28"/>
          <w:szCs w:val="28"/>
        </w:rPr>
        <w:t>При заполнении титульного листа справки рекомендуется обратить внимание на следующее</w:t>
      </w:r>
      <w:r>
        <w:rPr>
          <w:rFonts w:ascii="Times New Roman" w:hAnsi="Times New Roman"/>
          <w:sz w:val="28"/>
          <w:szCs w:val="28"/>
        </w:rPr>
        <w:t>:</w:t>
      </w:r>
    </w:p>
    <w:p w14:paraId="4A233969">
      <w:pPr>
        <w:tabs>
          <w:tab w:val="left" w:pos="567"/>
        </w:tabs>
        <w:ind w:firstLine="567"/>
        <w:rPr>
          <w:rFonts w:ascii="Times New Roman" w:hAnsi="Times New Roman"/>
          <w:sz w:val="28"/>
          <w:szCs w:val="28"/>
        </w:rPr>
      </w:pPr>
      <w:r>
        <w:rPr>
          <w:rFonts w:ascii="Times New Roman" w:hAnsi="Times New Roman"/>
          <w:sz w:val="28"/>
          <w:szCs w:val="28"/>
        </w:rPr>
        <w:t xml:space="preserve">1) фамилия, имя и отчество (при наличии) гражданина, служащего (работника), представляющего Сведения, его супруги (супруга) и несовершеннолетнего ребенка </w:t>
      </w:r>
      <w:r>
        <w:rPr>
          <w:rFonts w:ascii="Times New Roman" w:hAnsi="Times New Roman"/>
          <w:bCs/>
          <w:sz w:val="28"/>
          <w:szCs w:val="28"/>
        </w:rPr>
        <w:t>указываются (в именительном падеж</w:t>
      </w:r>
      <w:r>
        <w:rPr>
          <w:rFonts w:ascii="Times New Roman" w:hAnsi="Times New Roman"/>
          <w:sz w:val="28"/>
        </w:rPr>
        <w:t>е</w:t>
      </w:r>
      <w:r>
        <w:rPr>
          <w:rFonts w:ascii="Times New Roman" w:hAnsi="Times New Roman"/>
          <w:bCs/>
          <w:sz w:val="28"/>
          <w:szCs w:val="28"/>
        </w:rPr>
        <w:t xml:space="preserve">) </w:t>
      </w:r>
      <w:r>
        <w:rPr>
          <w:rStyle w:val="191"/>
          <w:rFonts w:ascii="Times New Roman" w:hAnsi="Times New Roman" w:cs="Times New Roman"/>
          <w:sz w:val="28"/>
          <w:szCs w:val="28"/>
        </w:rPr>
        <w:t>полностью, без</w:t>
      </w:r>
      <w:r>
        <w:rPr>
          <w:rStyle w:val="191"/>
          <w:rFonts w:ascii="Times New Roman" w:hAnsi="Times New Roman" w:cs="Times New Roman"/>
          <w:color w:val="000000"/>
          <w:sz w:val="28"/>
          <w:szCs w:val="28"/>
        </w:rPr>
        <w:t xml:space="preserve"> сокращений в соответствии с документом, удостоверяющим личность, по состоянию на дату подписания справки (реквизиты </w:t>
      </w:r>
      <w:r>
        <w:rPr>
          <w:rFonts w:ascii="Times New Roman" w:hAnsi="Times New Roman"/>
          <w:sz w:val="28"/>
          <w:szCs w:val="28"/>
        </w:rPr>
        <w:t>удостоверяющего личность документа указываются по состоянию на дату подписания)</w:t>
      </w:r>
      <w:r>
        <w:rPr>
          <w:rStyle w:val="191"/>
          <w:rFonts w:ascii="Times New Roman" w:hAnsi="Times New Roman" w:cs="Times New Roman"/>
          <w:color w:val="000000"/>
          <w:sz w:val="28"/>
          <w:szCs w:val="28"/>
        </w:rPr>
        <w:t xml:space="preserve">. </w:t>
      </w:r>
      <w:r>
        <w:rPr>
          <w:rFonts w:ascii="Times New Roman" w:hAnsi="Times New Roman"/>
          <w:sz w:val="28"/>
          <w:szCs w:val="28"/>
        </w:rPr>
        <w:t>Серия свидетельства о рождении указывается по формату: римские цифры – в латинской раскладке клавиатуры, русские буквы – в русской;</w:t>
      </w:r>
    </w:p>
    <w:p w14:paraId="445E4C1C">
      <w:pPr>
        <w:tabs>
          <w:tab w:val="left" w:pos="567"/>
        </w:tabs>
        <w:ind w:firstLine="567"/>
        <w:rPr>
          <w:rFonts w:ascii="Times New Roman" w:hAnsi="Times New Roman"/>
          <w:bCs/>
          <w:sz w:val="28"/>
          <w:szCs w:val="28"/>
        </w:rPr>
      </w:pPr>
      <w:r>
        <w:rPr>
          <w:rFonts w:ascii="Times New Roman" w:hAnsi="Times New Roman"/>
          <w:bCs/>
          <w:sz w:val="28"/>
          <w:szCs w:val="28"/>
        </w:rPr>
        <w:t>2) дата рождения (год рождения) указывается</w:t>
      </w:r>
      <w:r>
        <w:rPr>
          <w:rStyle w:val="191"/>
          <w:rFonts w:ascii="Times New Roman" w:hAnsi="Times New Roman" w:cs="Times New Roman"/>
          <w:color w:val="000000"/>
          <w:sz w:val="28"/>
          <w:szCs w:val="28"/>
        </w:rPr>
        <w:t xml:space="preserve"> в соответствии с записью в документе, удостоверяющем личность</w:t>
      </w:r>
      <w:r>
        <w:rPr>
          <w:rFonts w:ascii="Times New Roman" w:hAnsi="Times New Roman"/>
          <w:bCs/>
          <w:sz w:val="28"/>
          <w:szCs w:val="28"/>
        </w:rPr>
        <w:t>;</w:t>
      </w:r>
    </w:p>
    <w:p w14:paraId="709A9547">
      <w:pPr>
        <w:tabs>
          <w:tab w:val="left" w:pos="567"/>
        </w:tabs>
        <w:ind w:firstLine="567"/>
        <w:rPr>
          <w:rFonts w:ascii="Times New Roman" w:hAnsi="Times New Roman"/>
          <w:bCs/>
          <w:sz w:val="28"/>
          <w:szCs w:val="28"/>
        </w:rPr>
      </w:pPr>
      <w:r>
        <w:rPr>
          <w:rFonts w:ascii="Times New Roman" w:hAnsi="Times New Roman"/>
          <w:bCs/>
          <w:sz w:val="28"/>
          <w:szCs w:val="28"/>
        </w:rPr>
        <w:t>3) страховой номер индивидуального лицевого счета (СНИЛС) указывается при наличии. При этом в соответствии с Федеральным законом от 1 апреля 1996 г. № 27-ФЗ "Об индивидуальном (персонифицированном) учете в системе обязательного пенсионного страхования" с ноября 2013 года СНИЛС присваивается новорожденным в беззаявительном порядке;</w:t>
      </w:r>
    </w:p>
    <w:p w14:paraId="2EFAF31E">
      <w:pPr>
        <w:pStyle w:val="190"/>
        <w:tabs>
          <w:tab w:val="left" w:pos="567"/>
        </w:tabs>
        <w:ind w:firstLine="567"/>
        <w:rPr>
          <w:rStyle w:val="191"/>
          <w:rFonts w:ascii="Times New Roman" w:hAnsi="Times New Roman" w:cs="Times New Roman"/>
          <w:color w:val="000000"/>
          <w:sz w:val="28"/>
          <w:szCs w:val="28"/>
        </w:rPr>
      </w:pPr>
      <w:r>
        <w:rPr>
          <w:rStyle w:val="191"/>
          <w:rFonts w:ascii="Times New Roman" w:hAnsi="Times New Roman" w:cs="Times New Roman"/>
          <w:color w:val="000000"/>
          <w:sz w:val="28"/>
          <w:szCs w:val="28"/>
        </w:rPr>
        <w:t xml:space="preserve">4) место службы (работы) и замещаемая (занимаемая) должность указываются в соответствии с приказом о назначении и служебным контрактом (трудовым договором) гражданином и служащим (работником) на дату подписания. </w:t>
      </w:r>
    </w:p>
    <w:p w14:paraId="755DAD17">
      <w:pPr>
        <w:pStyle w:val="190"/>
        <w:tabs>
          <w:tab w:val="left" w:pos="567"/>
        </w:tabs>
        <w:ind w:firstLine="567"/>
        <w:rPr>
          <w:rStyle w:val="191"/>
          <w:rFonts w:ascii="Times New Roman" w:hAnsi="Times New Roman" w:cs="Times New Roman"/>
          <w:color w:val="000000"/>
          <w:sz w:val="28"/>
          <w:szCs w:val="28"/>
        </w:rPr>
      </w:pPr>
      <w:r>
        <w:rPr>
          <w:rStyle w:val="191"/>
          <w:rFonts w:ascii="Times New Roman" w:hAnsi="Times New Roman" w:cs="Times New Roman"/>
          <w:color w:val="000000"/>
          <w:sz w:val="28"/>
          <w:szCs w:val="28"/>
        </w:rPr>
        <w:t>При заполнении справки гражданином, не осуществляющим трудовую деятельность в установленном порядке, претендующим на замещение вакантной должности, в графе "род занятий" указывается: "временно неработающий".</w:t>
      </w:r>
    </w:p>
    <w:p w14:paraId="25C64591">
      <w:pPr>
        <w:pStyle w:val="190"/>
        <w:tabs>
          <w:tab w:val="left" w:pos="567"/>
        </w:tabs>
        <w:ind w:firstLine="567"/>
        <w:rPr>
          <w:rStyle w:val="191"/>
          <w:rFonts w:ascii="Times New Roman" w:hAnsi="Times New Roman" w:cs="Times New Roman"/>
          <w:sz w:val="28"/>
          <w:szCs w:val="28"/>
        </w:rPr>
      </w:pPr>
      <w:r>
        <w:rPr>
          <w:rStyle w:val="191"/>
          <w:rFonts w:ascii="Times New Roman" w:hAnsi="Times New Roman" w:cs="Times New Roman"/>
          <w:sz w:val="28"/>
          <w:szCs w:val="28"/>
        </w:rPr>
        <w:t xml:space="preserve">Если Сведения представляются в отношении несовершеннолетнего ребенка, то в графе "род занятий" рекомендуется указывать образовательную организацию, обучающимся которой он является, </w:t>
      </w:r>
      <w:r>
        <w:rPr>
          <w:rFonts w:ascii="Times New Roman" w:hAnsi="Times New Roman" w:cs="Times New Roman"/>
          <w:sz w:val="28"/>
          <w:szCs w:val="28"/>
        </w:rPr>
        <w:t>или "находится на домашнем воспитании".</w:t>
      </w:r>
    </w:p>
    <w:p w14:paraId="4267890B">
      <w:pPr>
        <w:pStyle w:val="190"/>
        <w:tabs>
          <w:tab w:val="left" w:pos="567"/>
        </w:tabs>
        <w:ind w:firstLine="567"/>
        <w:rPr>
          <w:rStyle w:val="191"/>
          <w:rFonts w:ascii="Times New Roman" w:hAnsi="Times New Roman" w:cs="Times New Roman"/>
          <w:sz w:val="28"/>
          <w:szCs w:val="28"/>
        </w:rPr>
      </w:pPr>
      <w:r>
        <w:rPr>
          <w:rStyle w:val="191"/>
          <w:rFonts w:ascii="Times New Roman" w:hAnsi="Times New Roman" w:cs="Times New Roman"/>
          <w:sz w:val="28"/>
          <w:szCs w:val="28"/>
        </w:rPr>
        <w:t>При представлении Сведений в отношении супруга (супруги) и несовершеннолетних детей, не являющихся обучающимися, которые не имеют работы и заработка, зарегистрированы в органах службы занятости в целях поиска подходящей работы, ищут работу и готовы приступить к ней, в графе "род занятий" рекомендуется указывать "безработный"; в случае если супруг (супруга) или несовершеннолетний ребенок, не являющийся обучающимся, не имеют работу и заработок и при этом не зарегистрированы в органах службы занятости, то в графе "род занятий" рекомендуется указывать "временно неработающий"</w:t>
      </w:r>
      <w:r>
        <w:rPr>
          <w:rFonts w:ascii="Times New Roman" w:hAnsi="Times New Roman" w:cs="Times New Roman"/>
          <w:sz w:val="28"/>
          <w:szCs w:val="28"/>
        </w:rPr>
        <w:t xml:space="preserve"> или "домохозяйка" ("домохозяин")</w:t>
      </w:r>
      <w:r>
        <w:rPr>
          <w:rStyle w:val="191"/>
          <w:rFonts w:ascii="Times New Roman" w:hAnsi="Times New Roman" w:cs="Times New Roman"/>
          <w:sz w:val="28"/>
          <w:szCs w:val="28"/>
        </w:rPr>
        <w:t>.</w:t>
      </w:r>
    </w:p>
    <w:p w14:paraId="19013BC6">
      <w:pPr>
        <w:pStyle w:val="190"/>
        <w:tabs>
          <w:tab w:val="left" w:pos="567"/>
        </w:tabs>
        <w:ind w:firstLine="567"/>
        <w:rPr>
          <w:rFonts w:ascii="Times New Roman" w:hAnsi="Times New Roman" w:cs="Times New Roman"/>
          <w:sz w:val="28"/>
          <w:szCs w:val="28"/>
        </w:rPr>
      </w:pPr>
      <w:r>
        <w:rPr>
          <w:rStyle w:val="191"/>
          <w:rFonts w:ascii="Times New Roman" w:hAnsi="Times New Roman" w:cs="Times New Roman"/>
          <w:sz w:val="28"/>
          <w:szCs w:val="28"/>
        </w:rPr>
        <w:t xml:space="preserve">Супругу (супруге) и несовершеннолетним детям, осуществляющим уход за нетрудоспособными гражданами, в рассматриваемой графе рекомендуется указывать </w:t>
      </w:r>
      <w:r>
        <w:rPr>
          <w:rFonts w:ascii="Times New Roman" w:hAnsi="Times New Roman" w:cs="Times New Roman"/>
          <w:sz w:val="28"/>
          <w:szCs w:val="28"/>
        </w:rPr>
        <w:t>"</w:t>
      </w:r>
      <w:r>
        <w:rPr>
          <w:rStyle w:val="191"/>
          <w:rFonts w:ascii="Times New Roman" w:hAnsi="Times New Roman" w:cs="Times New Roman"/>
          <w:sz w:val="28"/>
          <w:szCs w:val="28"/>
        </w:rPr>
        <w:t>осуществляющий уход за нетрудоспособным гражданином</w:t>
      </w:r>
      <w:r>
        <w:rPr>
          <w:rFonts w:ascii="Times New Roman" w:hAnsi="Times New Roman" w:cs="Times New Roman"/>
          <w:sz w:val="28"/>
          <w:szCs w:val="28"/>
        </w:rPr>
        <w:t>".</w:t>
      </w:r>
    </w:p>
    <w:p w14:paraId="63116748">
      <w:pPr>
        <w:pStyle w:val="190"/>
        <w:tabs>
          <w:tab w:val="left" w:pos="567"/>
        </w:tabs>
        <w:ind w:firstLine="567"/>
        <w:rPr>
          <w:rFonts w:ascii="Times New Roman" w:hAnsi="Times New Roman" w:cs="Times New Roman"/>
          <w:sz w:val="28"/>
          <w:szCs w:val="28"/>
        </w:rPr>
      </w:pPr>
      <w:r>
        <w:rPr>
          <w:rFonts w:ascii="Times New Roman" w:hAnsi="Times New Roman" w:cs="Times New Roman"/>
          <w:sz w:val="28"/>
          <w:szCs w:val="28"/>
        </w:rPr>
        <w:t>В случае прохождения военной службы супругом (супругой) при заполнении титульного листа справки такого супруга (супруги), замещающего должность военной службы, допускается ограничиться исполнением надписи "Военнослужащий"; отражение в названной справке сведений о должностях военнослужащих, замещаемых ими в конкретных войсковых частях, представляется нецелесообразным;</w:t>
      </w:r>
    </w:p>
    <w:p w14:paraId="52078A20">
      <w:pPr>
        <w:pStyle w:val="190"/>
        <w:tabs>
          <w:tab w:val="left" w:pos="567"/>
        </w:tabs>
        <w:ind w:firstLine="567"/>
        <w:rPr>
          <w:rFonts w:ascii="Times New Roman" w:hAnsi="Times New Roman" w:cs="Times New Roman"/>
          <w:sz w:val="28"/>
          <w:szCs w:val="28"/>
        </w:rPr>
      </w:pPr>
      <w:r>
        <w:rPr>
          <w:rStyle w:val="191"/>
          <w:rFonts w:ascii="Times New Roman" w:hAnsi="Times New Roman" w:cs="Times New Roman"/>
          <w:sz w:val="28"/>
          <w:szCs w:val="28"/>
        </w:rPr>
        <w:t xml:space="preserve">5) при наличии на дату подписания справки нескольких мест работы на титульном листе справки </w:t>
      </w:r>
      <w:r>
        <w:rPr>
          <w:rFonts w:ascii="Times New Roman" w:hAnsi="Times New Roman" w:cs="Times New Roman"/>
          <w:sz w:val="28"/>
          <w:szCs w:val="28"/>
        </w:rPr>
        <w:t>обязательно</w:t>
      </w:r>
      <w:r>
        <w:rPr>
          <w:rStyle w:val="191"/>
          <w:rFonts w:ascii="Times New Roman" w:hAnsi="Times New Roman" w:cs="Times New Roman"/>
          <w:sz w:val="28"/>
          <w:szCs w:val="28"/>
        </w:rPr>
        <w:t xml:space="preserve"> указывается основное место работы, т.е. </w:t>
      </w:r>
      <w:r>
        <w:rPr>
          <w:rFonts w:ascii="Times New Roman" w:hAnsi="Times New Roman" w:cs="Times New Roman"/>
          <w:sz w:val="28"/>
          <w:szCs w:val="28"/>
        </w:rPr>
        <w:t>организация, в которой находится трудовая книжка. При этом рекомендуется указать и иные места работы.</w:t>
      </w:r>
    </w:p>
    <w:p w14:paraId="064ADB40">
      <w:pPr>
        <w:pStyle w:val="190"/>
        <w:tabs>
          <w:tab w:val="left" w:pos="567"/>
        </w:tabs>
        <w:ind w:firstLine="567"/>
        <w:rPr>
          <w:rFonts w:ascii="Times New Roman" w:hAnsi="Times New Roman" w:cs="Times New Roman"/>
          <w:sz w:val="28"/>
          <w:szCs w:val="28"/>
        </w:rPr>
      </w:pPr>
      <w:r>
        <w:rPr>
          <w:rFonts w:ascii="Times New Roman" w:hAnsi="Times New Roman" w:cs="Times New Roman"/>
          <w:sz w:val="28"/>
          <w:szCs w:val="28"/>
        </w:rPr>
        <w:t>При заполнении справки лицом, только выполняющим работы и (или) оказывающим услуги на основании договоров гражданско-правового характера (самозанятые граждане, работающие без трудовой книжки), рекомендуется указывать "выполнение работ (оказание услуг) в сфере (указывается наименование соответствующей сферы)".</w:t>
      </w:r>
    </w:p>
    <w:p w14:paraId="00C9CFC4">
      <w:pPr>
        <w:pStyle w:val="190"/>
        <w:tabs>
          <w:tab w:val="left" w:pos="567"/>
        </w:tabs>
        <w:ind w:firstLine="567"/>
        <w:rPr>
          <w:rFonts w:ascii="Times New Roman" w:hAnsi="Times New Roman" w:cs="Times New Roman"/>
          <w:sz w:val="28"/>
          <w:szCs w:val="28"/>
        </w:rPr>
      </w:pPr>
      <w:r>
        <w:rPr>
          <w:rFonts w:ascii="Times New Roman" w:hAnsi="Times New Roman" w:cs="Times New Roman"/>
          <w:sz w:val="28"/>
          <w:szCs w:val="28"/>
        </w:rPr>
        <w:t>При заполнении справки лица, зарегистрированного в качестве индивидуального предпринимателя, рекомендуется указывать соответствующий статус.</w:t>
      </w:r>
    </w:p>
    <w:p w14:paraId="59343771">
      <w:pPr>
        <w:pStyle w:val="190"/>
        <w:tabs>
          <w:tab w:val="left" w:pos="567"/>
        </w:tabs>
        <w:ind w:firstLine="567"/>
        <w:rPr>
          <w:rFonts w:ascii="Times New Roman" w:hAnsi="Times New Roman" w:cs="Times New Roman"/>
          <w:sz w:val="28"/>
          <w:szCs w:val="28"/>
        </w:rPr>
      </w:pPr>
      <w:r>
        <w:rPr>
          <w:rFonts w:ascii="Times New Roman" w:hAnsi="Times New Roman" w:cs="Times New Roman"/>
          <w:sz w:val="28"/>
          <w:szCs w:val="28"/>
        </w:rPr>
        <w:t>При заполнении справки лицом, замещающим муниципальную должность на непостоянной основе, указывается муниципальная должность и основное место работы (службы) или род занятий;</w:t>
      </w:r>
    </w:p>
    <w:p w14:paraId="0ADAD6C0">
      <w:pPr>
        <w:pStyle w:val="190"/>
        <w:tabs>
          <w:tab w:val="left" w:pos="567"/>
        </w:tabs>
        <w:ind w:firstLine="567"/>
        <w:rPr>
          <w:rFonts w:ascii="Times New Roman" w:hAnsi="Times New Roman" w:cs="Times New Roman"/>
          <w:sz w:val="28"/>
          <w:szCs w:val="28"/>
        </w:rPr>
      </w:pPr>
      <w:r>
        <w:rPr>
          <w:rStyle w:val="191"/>
          <w:rFonts w:ascii="Times New Roman" w:hAnsi="Times New Roman" w:cs="Times New Roman"/>
          <w:color w:val="000000"/>
          <w:sz w:val="28"/>
          <w:szCs w:val="28"/>
        </w:rPr>
        <w:t>6) а</w:t>
      </w:r>
      <w:r>
        <w:rPr>
          <w:rFonts w:ascii="Times New Roman" w:hAnsi="Times New Roman" w:cs="Times New Roman"/>
          <w:bCs/>
          <w:sz w:val="28"/>
          <w:szCs w:val="28"/>
        </w:rPr>
        <w:t>дрес места регистрации у</w:t>
      </w:r>
      <w:r>
        <w:rPr>
          <w:rFonts w:ascii="Times New Roman" w:hAnsi="Times New Roman" w:cs="Times New Roman"/>
          <w:sz w:val="28"/>
          <w:szCs w:val="28"/>
        </w:rPr>
        <w:t xml:space="preserve">казывается </w:t>
      </w:r>
      <w:r>
        <w:rPr>
          <w:rStyle w:val="191"/>
          <w:rFonts w:ascii="Times New Roman" w:hAnsi="Times New Roman" w:cs="Times New Roman"/>
          <w:sz w:val="28"/>
          <w:szCs w:val="28"/>
        </w:rPr>
        <w:t>по состоянию на дату подписания справки</w:t>
      </w:r>
      <w:r>
        <w:rPr>
          <w:rStyle w:val="191"/>
          <w:rFonts w:ascii="Times New Roman" w:hAnsi="Times New Roman" w:cs="Times New Roman"/>
          <w:color w:val="000000"/>
          <w:sz w:val="28"/>
          <w:szCs w:val="28"/>
        </w:rPr>
        <w:t xml:space="preserve"> </w:t>
      </w:r>
      <w:r>
        <w:rPr>
          <w:rFonts w:ascii="Times New Roman" w:hAnsi="Times New Roman" w:cs="Times New Roman"/>
          <w:sz w:val="28"/>
          <w:szCs w:val="28"/>
        </w:rPr>
        <w:t>на основании записи в паспорте</w:t>
      </w:r>
      <w:r>
        <w:rPr>
          <w:rStyle w:val="191"/>
          <w:rFonts w:ascii="Times New Roman" w:hAnsi="Times New Roman" w:cs="Times New Roman"/>
          <w:color w:val="000000"/>
          <w:sz w:val="28"/>
          <w:szCs w:val="28"/>
        </w:rPr>
        <w:t xml:space="preserve"> или ином документе, подтверждающем регистрацию по месту жительства (наименование субъекта Российской Федерации, района, города, иного населенного пункта, улицы, номер дома и квартиры, почтовый индекс)</w:t>
      </w:r>
      <w:r>
        <w:rPr>
          <w:rFonts w:ascii="Times New Roman" w:hAnsi="Times New Roman" w:cs="Times New Roman"/>
          <w:sz w:val="28"/>
          <w:szCs w:val="28"/>
        </w:rPr>
        <w:t>. При наличии временной регистрации ее адрес указывается в СПО "Справки БК" - в графе "Доп.информация". При отсутствии постоянной регистрации указывается временная. В случае если служащий (работник), гражданин, член семьи не проживает по адресу места регистрации, в СПО "Справки БК" - в графе "Доп.информация" указывается адрес фактического проживания;</w:t>
      </w:r>
    </w:p>
    <w:p w14:paraId="433FCE75">
      <w:pPr>
        <w:pStyle w:val="190"/>
        <w:tabs>
          <w:tab w:val="left" w:pos="567"/>
        </w:tabs>
        <w:ind w:firstLine="567"/>
        <w:rPr>
          <w:rFonts w:ascii="Times New Roman" w:hAnsi="Times New Roman" w:cs="Times New Roman"/>
          <w:sz w:val="28"/>
          <w:szCs w:val="28"/>
        </w:rPr>
      </w:pPr>
      <w:r>
        <w:rPr>
          <w:rFonts w:ascii="Times New Roman" w:hAnsi="Times New Roman" w:cs="Times New Roman"/>
          <w:sz w:val="28"/>
          <w:szCs w:val="28"/>
        </w:rPr>
        <w:t xml:space="preserve">7) отчетный период и отчетная дата, которые указываются в соответствии с нормативными правовыми актами Российской Федерации, которыми для различных категорий граждан и служащих (работников) определяются соответствующий отчетный период и отчетная дата </w:t>
      </w:r>
      <w:r>
        <w:rPr>
          <w:rFonts w:ascii="Times New Roman" w:hAnsi="Times New Roman"/>
          <w:sz w:val="28"/>
        </w:rPr>
        <w:t xml:space="preserve">(см., например, </w:t>
      </w:r>
      <w:r>
        <w:fldChar w:fldCharType="begin"/>
      </w:r>
      <w:r>
        <w:instrText xml:space="preserve"> HYPERLINK \l "Отчетные" </w:instrText>
      </w:r>
      <w:r>
        <w:fldChar w:fldCharType="separate"/>
      </w:r>
      <w:r>
        <w:rPr>
          <w:rStyle w:val="17"/>
          <w:rFonts w:ascii="Times New Roman" w:hAnsi="Times New Roman" w:cs="Times New Roman"/>
          <w:sz w:val="28"/>
          <w:szCs w:val="28"/>
        </w:rPr>
        <w:t>пункт 22 настоящих Методических рекомендаций</w:t>
      </w:r>
      <w:r>
        <w:rPr>
          <w:rStyle w:val="17"/>
          <w:rFonts w:ascii="Times New Roman" w:hAnsi="Times New Roman" w:cs="Times New Roman"/>
          <w:sz w:val="28"/>
          <w:szCs w:val="28"/>
        </w:rPr>
        <w:fldChar w:fldCharType="end"/>
      </w:r>
      <w:r>
        <w:rPr>
          <w:rStyle w:val="17"/>
          <w:rFonts w:ascii="Times New Roman" w:hAnsi="Times New Roman" w:cs="Times New Roman"/>
          <w:color w:val="auto"/>
          <w:sz w:val="28"/>
          <w:szCs w:val="28"/>
          <w:u w:val="none"/>
        </w:rPr>
        <w:t>)</w:t>
      </w:r>
      <w:r>
        <w:rPr>
          <w:rFonts w:ascii="Times New Roman" w:hAnsi="Times New Roman" w:cs="Times New Roman"/>
          <w:sz w:val="28"/>
          <w:szCs w:val="28"/>
        </w:rPr>
        <w:t xml:space="preserve">. </w:t>
      </w:r>
    </w:p>
    <w:p w14:paraId="4594C73D">
      <w:pPr>
        <w:rPr>
          <w:rFonts w:ascii="Times New Roman" w:hAnsi="Times New Roman"/>
          <w:sz w:val="28"/>
          <w:szCs w:val="28"/>
        </w:rPr>
      </w:pPr>
    </w:p>
    <w:p w14:paraId="1020CDB0">
      <w:pPr>
        <w:pStyle w:val="3"/>
        <w:ind w:firstLine="0"/>
        <w:jc w:val="center"/>
        <w:rPr>
          <w:b w:val="0"/>
        </w:rPr>
      </w:pPr>
      <w:bookmarkStart w:id="28" w:name="_Toc225936068"/>
      <w:r>
        <w:t>РАЗДЕЛ 1. СВЕДЕНИЯ О ДОХОДАХ</w:t>
      </w:r>
      <w:bookmarkEnd w:id="28"/>
    </w:p>
    <w:p w14:paraId="557FA4EB">
      <w:pPr>
        <w:ind w:firstLine="851"/>
        <w:jc w:val="center"/>
        <w:rPr>
          <w:rFonts w:ascii="Times New Roman" w:hAnsi="Times New Roman"/>
          <w:b/>
          <w:sz w:val="28"/>
          <w:szCs w:val="28"/>
        </w:rPr>
      </w:pPr>
    </w:p>
    <w:p w14:paraId="1CE69CE5">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При заполнении данного раздела справки не следует руководствоваться только содержанием термина "доход", определенного в статье 41 Налогового кодекса Российской Федерации, поскольку в целях представления Сведений под "доходом" применяется более широкое понятие. Примеры подлежащих отражению доходов, имевших место в отчетном периоде, представлены ниже. Полученные доходы, в том числе по основному месту работы, указываются без вычета налога на доходы физических лиц.</w:t>
      </w:r>
    </w:p>
    <w:p w14:paraId="561DC8A5">
      <w:pPr>
        <w:pStyle w:val="193"/>
        <w:numPr>
          <w:ilvl w:val="0"/>
          <w:numId w:val="1"/>
        </w:numPr>
        <w:tabs>
          <w:tab w:val="left" w:pos="567"/>
        </w:tabs>
        <w:ind w:left="0" w:firstLine="567"/>
        <w:rPr>
          <w:rFonts w:ascii="Times New Roman" w:hAnsi="Times New Roman"/>
          <w:sz w:val="28"/>
          <w:szCs w:val="28"/>
        </w:rPr>
      </w:pPr>
      <w:r>
        <w:rPr>
          <w:rFonts w:ascii="Times New Roman" w:hAnsi="Times New Roman" w:eastAsia="Times New Roman"/>
          <w:sz w:val="28"/>
          <w:szCs w:val="28"/>
          <w:lang w:eastAsia="ru-RU"/>
        </w:rPr>
        <w:t>При определении необходимости отражения денежных средств, полученных от реализации товаров, выполнения работ, оказания услуг, необходимо устанавливать первичного собственника денежных средств, а не последующее решение о распоряжении ими (так, если служащий (работник) продает принадлежащий ему на праве собственности объект имущества и распоряжается о перечислении денежных средств, вырученных за счет такой продажи, на счет иного лица, например дальнего родственника служащего (работника), то денежные средства подлежат отражению в рассматриваемом разделе справки служащего (работника)).</w:t>
      </w:r>
    </w:p>
    <w:p w14:paraId="4FA73868">
      <w:pPr>
        <w:pStyle w:val="193"/>
        <w:tabs>
          <w:tab w:val="left" w:pos="567"/>
          <w:tab w:val="left" w:pos="1134"/>
        </w:tabs>
        <w:ind w:left="0" w:firstLine="567"/>
        <w:outlineLvl w:val="2"/>
        <w:rPr>
          <w:rFonts w:ascii="Times New Roman" w:hAnsi="Times New Roman"/>
          <w:b/>
          <w:sz w:val="28"/>
          <w:szCs w:val="28"/>
        </w:rPr>
      </w:pPr>
      <w:bookmarkStart w:id="29" w:name="_Toc225936069"/>
      <w:r>
        <w:rPr>
          <w:rFonts w:ascii="Times New Roman" w:hAnsi="Times New Roman"/>
          <w:b/>
          <w:sz w:val="28"/>
          <w:szCs w:val="28"/>
        </w:rPr>
        <w:t>Доход по основному месту работы</w:t>
      </w:r>
      <w:bookmarkEnd w:id="29"/>
    </w:p>
    <w:p w14:paraId="5D2BDF25">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 xml:space="preserve">В данной строке указывается доход, полученный служащим (работником) в том органе (организации), в котором он замещает должность, замещение которой предусматривает представление Сведений. Гражданином в данной строке указывается доход, полученный им в том органе (организации), в котором он замещал должность на дату подписания справки. Указанию подлежит общая сумма дохода, содержащаяся в Справке о доходах и суммах налога физического лица, выдаваемой по месту службы (работы) (графа "Общая сумма дохода"). Если по основному месту работы получен доход, который не включен в Справку о доходах и суммах налога физического лица, он подлежит указанию в строке </w:t>
      </w:r>
      <w:r>
        <w:rPr>
          <w:rFonts w:ascii="Times New Roman" w:hAnsi="Times New Roman"/>
          <w:b/>
          <w:sz w:val="28"/>
          <w:szCs w:val="28"/>
        </w:rPr>
        <w:t>"Иные доходы"</w:t>
      </w:r>
      <w:r>
        <w:rPr>
          <w:rFonts w:ascii="Times New Roman" w:hAnsi="Times New Roman"/>
          <w:sz w:val="28"/>
          <w:szCs w:val="28"/>
        </w:rPr>
        <w:t xml:space="preserve">. </w:t>
      </w:r>
    </w:p>
    <w:p w14:paraId="771C87D2">
      <w:pPr>
        <w:tabs>
          <w:tab w:val="left" w:pos="567"/>
        </w:tabs>
        <w:ind w:firstLine="567"/>
        <w:rPr>
          <w:rFonts w:ascii="Times New Roman" w:hAnsi="Times New Roman"/>
          <w:sz w:val="28"/>
          <w:szCs w:val="28"/>
        </w:rPr>
      </w:pPr>
      <w:r>
        <w:rPr>
          <w:rFonts w:ascii="Times New Roman" w:hAnsi="Times New Roman"/>
          <w:sz w:val="28"/>
          <w:szCs w:val="28"/>
        </w:rPr>
        <w:t xml:space="preserve">Служащий (работник) может представить пояснения, если его доходы, указанные в разделе 1 справки и в Справке о доходах и суммах налога физического лица, отличаются, и приложить их к справке. </w:t>
      </w:r>
    </w:p>
    <w:p w14:paraId="1C938D62">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 xml:space="preserve">В том случае, если замещение государственной должности или муниципальной должности, поступление на государственную (муниципальную) службу, трудоустройство в организацию состоялось в отчетном периоде (смена основного места работы), доход, полученный по предыдущему месту службы (работы), указывается в строке </w:t>
      </w:r>
      <w:r>
        <w:rPr>
          <w:rFonts w:ascii="Times New Roman" w:hAnsi="Times New Roman"/>
          <w:b/>
          <w:sz w:val="28"/>
        </w:rPr>
        <w:t>"Иные доходы"</w:t>
      </w:r>
      <w:r>
        <w:rPr>
          <w:rFonts w:ascii="Times New Roman" w:hAnsi="Times New Roman"/>
          <w:sz w:val="28"/>
          <w:szCs w:val="28"/>
        </w:rPr>
        <w:t>. При этом в графе "Вид дохода" указывается предыдущее место работы.</w:t>
      </w:r>
    </w:p>
    <w:p w14:paraId="63A3B973">
      <w:pPr>
        <w:pStyle w:val="193"/>
        <w:tabs>
          <w:tab w:val="left" w:pos="567"/>
        </w:tabs>
        <w:ind w:left="0" w:firstLine="567"/>
        <w:rPr>
          <w:rFonts w:ascii="Times New Roman" w:hAnsi="Times New Roman"/>
          <w:b/>
          <w:sz w:val="28"/>
          <w:szCs w:val="28"/>
        </w:rPr>
      </w:pPr>
      <w:r>
        <w:rPr>
          <w:rFonts w:ascii="Times New Roman" w:hAnsi="Times New Roman"/>
          <w:b/>
          <w:sz w:val="28"/>
          <w:szCs w:val="28"/>
        </w:rPr>
        <w:t>Особенности заполнения данной графы отдельными категориями лиц</w:t>
      </w:r>
    </w:p>
    <w:p w14:paraId="1B0E4A3F">
      <w:pPr>
        <w:pStyle w:val="193"/>
        <w:numPr>
          <w:ilvl w:val="0"/>
          <w:numId w:val="1"/>
        </w:numPr>
        <w:tabs>
          <w:tab w:val="left" w:pos="567"/>
        </w:tabs>
        <w:ind w:left="0" w:firstLine="567"/>
        <w:rPr>
          <w:rFonts w:ascii="Times New Roman" w:hAnsi="Times New Roman"/>
          <w:sz w:val="28"/>
          <w:szCs w:val="28"/>
        </w:rPr>
      </w:pPr>
      <w:bookmarkStart w:id="30" w:name="ИП"/>
      <w:r>
        <w:rPr>
          <w:rFonts w:ascii="Times New Roman" w:hAnsi="Times New Roman"/>
          <w:sz w:val="28"/>
          <w:szCs w:val="28"/>
        </w:rPr>
        <w:t>Представление Сведений в отношении лица, зарегистрированного в качестве индивидуального предпринимателя, применяющего специальные налоговые режимы:</w:t>
      </w:r>
    </w:p>
    <w:p w14:paraId="0E4301B8">
      <w:pPr>
        <w:tabs>
          <w:tab w:val="left" w:pos="567"/>
        </w:tabs>
        <w:ind w:firstLine="567"/>
        <w:rPr>
          <w:rFonts w:ascii="Times New Roman" w:hAnsi="Times New Roman"/>
          <w:sz w:val="28"/>
          <w:szCs w:val="28"/>
        </w:rPr>
      </w:pPr>
      <w:r>
        <w:rPr>
          <w:rFonts w:ascii="Times New Roman" w:hAnsi="Times New Roman"/>
          <w:sz w:val="28"/>
          <w:szCs w:val="28"/>
        </w:rPr>
        <w:t>1) при применении упрощенной системы налогообложения (УСН) в качестве "дохода" указывается сумма полученных доходов за налоговый период, которая подлежит указанию в налоговой декларации по налогу, уплачиваемому в связи с применением УСН, независимо от объекта налогообложения. При этом служащий (работник) может представить пояснения по существу доходов от предпринимательской деятельности, полученных им или членами его семьи, и приложить их к справке;</w:t>
      </w:r>
    </w:p>
    <w:p w14:paraId="3BA5B77A">
      <w:pPr>
        <w:tabs>
          <w:tab w:val="left" w:pos="567"/>
        </w:tabs>
        <w:ind w:firstLine="567"/>
        <w:rPr>
          <w:rFonts w:ascii="Times New Roman" w:hAnsi="Times New Roman"/>
          <w:sz w:val="28"/>
          <w:szCs w:val="28"/>
        </w:rPr>
      </w:pPr>
      <w:r>
        <w:rPr>
          <w:rFonts w:ascii="Times New Roman" w:hAnsi="Times New Roman"/>
          <w:sz w:val="28"/>
          <w:szCs w:val="28"/>
        </w:rPr>
        <w:t>2) при применении патентной системы налогообложения (ПСН) в качестве "дохода" указывается сумма доходов от реализации, определяемая в соответствии со статьей 249 Налогового кодекса РФ, которая подлежит отражению в книге учета доходов индивидуального предпринимателя, применяющего ПСН;</w:t>
      </w:r>
    </w:p>
    <w:p w14:paraId="372F5A41">
      <w:pPr>
        <w:tabs>
          <w:tab w:val="left" w:pos="567"/>
        </w:tabs>
        <w:ind w:firstLine="567"/>
        <w:rPr>
          <w:rFonts w:ascii="Times New Roman" w:hAnsi="Times New Roman"/>
          <w:sz w:val="28"/>
          <w:szCs w:val="28"/>
        </w:rPr>
      </w:pPr>
      <w:r>
        <w:rPr>
          <w:rFonts w:ascii="Times New Roman" w:hAnsi="Times New Roman"/>
          <w:sz w:val="28"/>
          <w:szCs w:val="28"/>
        </w:rPr>
        <w:t>3) при применении системы налогообложения для сельскохозяйственных товаропроизводителей (единого сельскохозяйственного налога (ЕСХН)) в качестве "дохода" указывается сумма полученных доходов за налоговый период, которая подлежит указанию в налоговой декларации по ЕСХН, независимо от объекта налогообложения;</w:t>
      </w:r>
    </w:p>
    <w:p w14:paraId="5F7C8FAC">
      <w:pPr>
        <w:tabs>
          <w:tab w:val="left" w:pos="567"/>
        </w:tabs>
        <w:ind w:firstLine="567"/>
        <w:rPr>
          <w:rFonts w:ascii="Times New Roman" w:hAnsi="Times New Roman"/>
          <w:sz w:val="28"/>
          <w:szCs w:val="28"/>
        </w:rPr>
      </w:pPr>
      <w:r>
        <w:rPr>
          <w:rFonts w:ascii="Times New Roman" w:hAnsi="Times New Roman"/>
          <w:sz w:val="28"/>
          <w:szCs w:val="28"/>
        </w:rPr>
        <w:t>4) при применении автоматизированной упрощенной системы налогообложения (АвтоУСН) в качестве "дохода" указывается сумма полученных доходов (независимо от объекта налогообложения) за налоговые периоды отчетного года. При этом служащий (работник) может представить пояснения по существу доходов от предпринимательской деятельности, полученных им или членами его семьи, и приложить их к справке.</w:t>
      </w:r>
    </w:p>
    <w:p w14:paraId="60B1F058">
      <w:pPr>
        <w:tabs>
          <w:tab w:val="left" w:pos="567"/>
        </w:tabs>
        <w:ind w:firstLine="567"/>
        <w:rPr>
          <w:rFonts w:ascii="Times New Roman" w:hAnsi="Times New Roman"/>
          <w:sz w:val="28"/>
          <w:szCs w:val="28"/>
        </w:rPr>
      </w:pPr>
      <w:r>
        <w:rPr>
          <w:rFonts w:ascii="Times New Roman" w:hAnsi="Times New Roman"/>
          <w:sz w:val="28"/>
          <w:szCs w:val="28"/>
        </w:rPr>
        <w:t xml:space="preserve">При одновременном применении нескольких специальных налоговых режимов одним лицом, зарегистрированным в качестве индивидуального предпринимателя, в строке </w:t>
      </w:r>
      <w:r>
        <w:rPr>
          <w:rFonts w:ascii="Times New Roman" w:hAnsi="Times New Roman"/>
          <w:b/>
          <w:sz w:val="28"/>
          <w:szCs w:val="28"/>
        </w:rPr>
        <w:t xml:space="preserve">"Доход по основному месту работы" </w:t>
      </w:r>
      <w:r>
        <w:rPr>
          <w:rFonts w:ascii="Times New Roman" w:hAnsi="Times New Roman"/>
          <w:sz w:val="28"/>
          <w:szCs w:val="28"/>
        </w:rPr>
        <w:t>отражается доход от основного вида предпринимательской деятельности, осуществляемой с применением одного из перечисленных специальных налоговых режимов, а в строке</w:t>
      </w:r>
      <w:r>
        <w:rPr>
          <w:rFonts w:ascii="Times New Roman" w:hAnsi="Times New Roman"/>
          <w:b/>
          <w:sz w:val="28"/>
          <w:szCs w:val="28"/>
        </w:rPr>
        <w:t xml:space="preserve"> "Иные доходы" </w:t>
      </w:r>
      <w:r>
        <w:rPr>
          <w:rFonts w:ascii="Times New Roman" w:hAnsi="Times New Roman"/>
          <w:sz w:val="28"/>
          <w:szCs w:val="28"/>
        </w:rPr>
        <w:t>отражается доход, полученный от других видов предпринимательской деятельности, осуществляемой с применением остальных специальных налоговых режимов (с разбивкой по суммам дохода и указанием применяемого специального налогового режима).</w:t>
      </w:r>
    </w:p>
    <w:bookmarkEnd w:id="30"/>
    <w:p w14:paraId="48A096D8">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При заполнении данного раздела лицом, замещающим государственную (муниципальную) должность на непостоянной основе, указывается доход по основному месту работы.</w:t>
      </w:r>
    </w:p>
    <w:p w14:paraId="53C7C2BF">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В качестве "дохода" лица, являющегося нотариусом, занимающимся частной практикой, указываются денежные средства, полученные им за совершение нотариальных действий и оказание услуг правового и технического характера, другие финансовые поступления в связи с осуществляемой деятельностью, не противоречащие законодательству Российской Федерации.</w:t>
      </w:r>
    </w:p>
    <w:p w14:paraId="3186F0E7">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 xml:space="preserve">Доходом лица, применяющего специальный налоговый режим "Налог на профессиональный доход", признается доход от реализации товаров (работ, услуг, имущественных прав), который может быть определен в том числе с использованием мобильного приложения "Мой налог". Особенности применения данного режима </w:t>
      </w:r>
      <w:r>
        <w:rPr>
          <w:rFonts w:ascii="Times New Roman" w:hAnsi="Times New Roman"/>
          <w:sz w:val="28"/>
        </w:rPr>
        <w:t>служащими</w:t>
      </w:r>
      <w:r>
        <w:rPr>
          <w:rFonts w:ascii="Times New Roman" w:hAnsi="Times New Roman"/>
          <w:sz w:val="28"/>
          <w:szCs w:val="28"/>
        </w:rPr>
        <w:t xml:space="preserve"> содержатся в письме Минтруда России от 19 апреля 2021 г. № 28-6/10/В-4623 (</w:t>
      </w:r>
      <w:r>
        <w:fldChar w:fldCharType="begin"/>
      </w:r>
      <w:r>
        <w:instrText xml:space="preserve"> HYPERLINK "https://mintrud.gov.ru/docs/1872" \o "https://mintrud.gov.ru/docs/1872" </w:instrText>
      </w:r>
      <w:r>
        <w:fldChar w:fldCharType="separate"/>
      </w:r>
      <w:r>
        <w:rPr>
          <w:rStyle w:val="17"/>
          <w:rFonts w:ascii="Times New Roman" w:hAnsi="Times New Roman"/>
          <w:sz w:val="28"/>
          <w:szCs w:val="28"/>
        </w:rPr>
        <w:t>https://mintrud.gov.ru/docs/1872</w:t>
      </w:r>
      <w:r>
        <w:rPr>
          <w:rStyle w:val="17"/>
          <w:rFonts w:ascii="Times New Roman" w:hAnsi="Times New Roman"/>
          <w:sz w:val="28"/>
          <w:szCs w:val="28"/>
        </w:rPr>
        <w:fldChar w:fldCharType="end"/>
      </w:r>
      <w:r>
        <w:rPr>
          <w:rFonts w:ascii="Times New Roman" w:hAnsi="Times New Roman"/>
          <w:sz w:val="28"/>
          <w:szCs w:val="28"/>
        </w:rPr>
        <w:t xml:space="preserve">). </w:t>
      </w:r>
    </w:p>
    <w:p w14:paraId="20D4ADC1">
      <w:pPr>
        <w:pStyle w:val="193"/>
        <w:tabs>
          <w:tab w:val="left" w:pos="567"/>
          <w:tab w:val="left" w:pos="1276"/>
        </w:tabs>
        <w:ind w:left="0" w:firstLine="567"/>
        <w:outlineLvl w:val="2"/>
        <w:rPr>
          <w:rFonts w:ascii="Times New Roman" w:hAnsi="Times New Roman"/>
          <w:b/>
          <w:sz w:val="28"/>
          <w:szCs w:val="28"/>
        </w:rPr>
      </w:pPr>
      <w:bookmarkStart w:id="31" w:name="_Toc225936070"/>
      <w:r>
        <w:rPr>
          <w:rFonts w:ascii="Times New Roman" w:hAnsi="Times New Roman"/>
          <w:b/>
          <w:sz w:val="28"/>
          <w:szCs w:val="28"/>
        </w:rPr>
        <w:t>Доход от педагогической и научной деятельности</w:t>
      </w:r>
      <w:bookmarkEnd w:id="31"/>
    </w:p>
    <w:p w14:paraId="1A1A84CE">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В данной строке указывается сумма дохода от педагогической деятельности (сумма дохода, содержащаяся в Справке о доходах и суммах налога физического лица, выданной по месту преподавания) и дохода от научной деятельности (доходы, полученные по результатам заключенных договоров на выполнение НИОКР и за оказание возмездных услуг в области интеллектуальной деятельности, от публикации статей, учебных пособий и монографий, от использования авторских или иных смежных прав и т.д.).</w:t>
      </w:r>
    </w:p>
    <w:p w14:paraId="06659573">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 xml:space="preserve">Если педагогическая или научная деятельность являлась деятельностью по основному месту работы (например, супруга (супруг) служащего (работника), гражданина либо сам гражданин в отчетном периоде работали преподавателем в образовательной организации), то сведения о полученных от нее доходах следует указывать в строке </w:t>
      </w:r>
      <w:r>
        <w:rPr>
          <w:rFonts w:ascii="Times New Roman" w:hAnsi="Times New Roman"/>
          <w:b/>
          <w:sz w:val="28"/>
        </w:rPr>
        <w:t>"Доход по основному месту работы"</w:t>
      </w:r>
      <w:r>
        <w:rPr>
          <w:rFonts w:ascii="Times New Roman" w:hAnsi="Times New Roman"/>
          <w:sz w:val="28"/>
          <w:szCs w:val="28"/>
        </w:rPr>
        <w:t xml:space="preserve">, а не в строке </w:t>
      </w:r>
      <w:r>
        <w:rPr>
          <w:rFonts w:ascii="Times New Roman" w:hAnsi="Times New Roman"/>
          <w:b/>
          <w:sz w:val="28"/>
        </w:rPr>
        <w:t>"Доход от педагогической и научной деятельности"</w:t>
      </w:r>
      <w:r>
        <w:rPr>
          <w:rFonts w:ascii="Times New Roman" w:hAnsi="Times New Roman"/>
          <w:sz w:val="28"/>
          <w:szCs w:val="28"/>
        </w:rPr>
        <w:t>.</w:t>
      </w:r>
    </w:p>
    <w:p w14:paraId="0223229D">
      <w:pPr>
        <w:pStyle w:val="193"/>
        <w:tabs>
          <w:tab w:val="left" w:pos="567"/>
        </w:tabs>
        <w:ind w:left="0" w:firstLine="567"/>
        <w:outlineLvl w:val="2"/>
        <w:rPr>
          <w:rFonts w:ascii="Times New Roman" w:hAnsi="Times New Roman"/>
          <w:b/>
          <w:sz w:val="28"/>
          <w:szCs w:val="28"/>
        </w:rPr>
      </w:pPr>
      <w:bookmarkStart w:id="32" w:name="_Toc225936071"/>
      <w:r>
        <w:rPr>
          <w:rFonts w:ascii="Times New Roman" w:hAnsi="Times New Roman"/>
          <w:b/>
          <w:sz w:val="28"/>
          <w:szCs w:val="28"/>
        </w:rPr>
        <w:t>Доход от иной творческой деятельности</w:t>
      </w:r>
      <w:bookmarkEnd w:id="32"/>
    </w:p>
    <w:p w14:paraId="18F39F9A">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В данной строке указывается сумма доходов, полученных в разных сферах творческой деятельности (технической, художественной, публицистической и т.д.), включающих доход от создания литературных произведений (их публикации), фоторабот для печати, произведений архитектуры и дизайна, произведений скульптуры, аудиовизуальных произведений (видео-, теле- и кинофильмов), музыкальных произведений, гонорары за участие в съемках и т.д.</w:t>
      </w:r>
    </w:p>
    <w:p w14:paraId="553EA41F">
      <w:pPr>
        <w:pStyle w:val="194"/>
        <w:numPr>
          <w:ilvl w:val="0"/>
          <w:numId w:val="1"/>
        </w:numPr>
        <w:tabs>
          <w:tab w:val="left" w:pos="567"/>
        </w:tabs>
        <w:ind w:left="0" w:firstLine="567"/>
        <w:rPr>
          <w:color w:val="auto"/>
          <w:sz w:val="28"/>
          <w:szCs w:val="28"/>
        </w:rPr>
      </w:pPr>
      <w:r>
        <w:rPr>
          <w:color w:val="auto"/>
          <w:sz w:val="28"/>
          <w:szCs w:val="28"/>
        </w:rPr>
        <w:t xml:space="preserve">Подлежат указанию в строках </w:t>
      </w:r>
      <w:r>
        <w:rPr>
          <w:b/>
          <w:color w:val="auto"/>
          <w:sz w:val="28"/>
          <w:szCs w:val="28"/>
        </w:rPr>
        <w:t>"Доход от педагогической и научной деятельности"</w:t>
      </w:r>
      <w:r>
        <w:rPr>
          <w:color w:val="auto"/>
          <w:sz w:val="28"/>
          <w:szCs w:val="28"/>
        </w:rPr>
        <w:t xml:space="preserve"> и </w:t>
      </w:r>
      <w:r>
        <w:rPr>
          <w:b/>
          <w:color w:val="auto"/>
          <w:sz w:val="28"/>
          <w:szCs w:val="28"/>
        </w:rPr>
        <w:t>"Доход от иной творческой деятельности"</w:t>
      </w:r>
      <w:r>
        <w:rPr>
          <w:color w:val="auto"/>
          <w:sz w:val="28"/>
          <w:szCs w:val="28"/>
        </w:rPr>
        <w:t xml:space="preserve"> суммы, полученные в виде грантов, предоставляемых для поддержки науки и образования, культуры и искусства в Российской Федерации от международных и иных организаций, в виде международных (и иных) премий за выдающиеся достижения в области науки и техники, литературы и искусства, образования, культуры и т.д.</w:t>
      </w:r>
    </w:p>
    <w:p w14:paraId="5F2B2D8D">
      <w:pPr>
        <w:pStyle w:val="4"/>
        <w:tabs>
          <w:tab w:val="left" w:pos="567"/>
        </w:tabs>
        <w:rPr>
          <w:b w:val="0"/>
        </w:rPr>
      </w:pPr>
      <w:bookmarkStart w:id="33" w:name="_Toc225936072"/>
      <w:r>
        <w:t>Доход от вкладов в банках и иных кредитных организациях</w:t>
      </w:r>
      <w:bookmarkEnd w:id="33"/>
    </w:p>
    <w:p w14:paraId="167F5078">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В данной строке указывается общая сумма доходов, выплаченных в отчетном периоде в виде процентов по любым вкладам (счетам) в банках и иных кредитных организациях, вне зависимости от их вида и валюты, включая такие доходы от вкладов (счетов), закрытых в отчетном периоде. Следует учитывать срок вклада и периодичность начисления по нему процентов.</w:t>
      </w:r>
    </w:p>
    <w:p w14:paraId="2D3EC1B2">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Сведения о наличии соответствующих банковских счетов и вкладов указываются в разделе 4 справки.</w:t>
      </w:r>
    </w:p>
    <w:p w14:paraId="5B9982AF">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 xml:space="preserve">Доход, полученный в иностранной валюте, указывается в рублях по курсу Банка России на дату получения дохода </w:t>
      </w:r>
      <w:r>
        <w:rPr>
          <w:rFonts w:ascii="Times New Roman" w:hAnsi="Times New Roman"/>
          <w:sz w:val="28"/>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eastAsia="Times New Roman"/>
          <w:color w:val="auto"/>
          <w:sz w:val="28"/>
          <w:szCs w:val="28"/>
          <w:u w:val="none"/>
          <w:lang w:eastAsia="ru-RU"/>
        </w:rPr>
        <w:t>)</w:t>
      </w:r>
      <w:r>
        <w:rPr>
          <w:rFonts w:ascii="Times New Roman" w:hAnsi="Times New Roman"/>
          <w:sz w:val="28"/>
          <w:szCs w:val="28"/>
        </w:rPr>
        <w:t xml:space="preserve">. </w:t>
      </w:r>
    </w:p>
    <w:p w14:paraId="2B37562E">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 xml:space="preserve">Датой получения дохода по вкладам в банках является день выплаты дохода, в том числе день перечисления дохода на счет служащего (работника) либо по его поручению на счета третьих лиц. </w:t>
      </w:r>
    </w:p>
    <w:p w14:paraId="04F1FE0D">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 xml:space="preserve">В случае неоднократного получения доходов по вкладам в иностранной валюте за отчетный период доход рассчитывается путем суммирования полученных доходов, переведенных в рубли по курсу, установленному Банком России, на каждую дату их получения </w:t>
      </w:r>
      <w:r>
        <w:rPr>
          <w:rFonts w:ascii="Times New Roman" w:hAnsi="Times New Roman"/>
          <w:sz w:val="28"/>
        </w:rPr>
        <w:t xml:space="preserve">(с учетом положений пункта </w:t>
      </w:r>
      <w:r>
        <w:fldChar w:fldCharType="begin"/>
      </w:r>
      <w:r>
        <w:instrText xml:space="preserve"> HYPERLINK \l "Справка" </w:instrText>
      </w:r>
      <w:r>
        <w:fldChar w:fldCharType="separate"/>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color w:val="000000" w:themeColor="text1"/>
          <w:sz w:val="28"/>
          <w:u w:val="none"/>
          <w14:textFill>
            <w14:solidFill>
              <w14:schemeClr w14:val="tx1"/>
            </w14:solidFill>
          </w14:textFill>
        </w:rPr>
        <w:t>)</w:t>
      </w:r>
      <w:r>
        <w:rPr>
          <w:rFonts w:ascii="Times New Roman" w:hAnsi="Times New Roman"/>
          <w:color w:val="000000" w:themeColor="text1"/>
          <w:sz w:val="28"/>
          <w:szCs w:val="28"/>
          <w14:textFill>
            <w14:solidFill>
              <w14:schemeClr w14:val="tx1"/>
            </w14:solidFill>
          </w14:textFill>
        </w:rPr>
        <w:t>.</w:t>
      </w:r>
      <w:r>
        <w:rPr>
          <w:rFonts w:ascii="Times New Roman" w:hAnsi="Times New Roman"/>
          <w:sz w:val="28"/>
        </w:rPr>
        <w:t xml:space="preserve"> </w:t>
      </w:r>
    </w:p>
    <w:p w14:paraId="52ABFC4F">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 xml:space="preserve">Не рекомендуется проводить какие-либо самостоятельные расчеты, поскольку вероятно возникновение различного рода ошибок. При этом рекомендуется руководствоваться информацией из единой формы, утвержденной Указанием Банка России № 5798-У (за исключением случаев, </w:t>
      </w:r>
      <w:r>
        <w:rPr>
          <w:rFonts w:ascii="Times New Roman" w:hAnsi="Times New Roman"/>
          <w:sz w:val="28"/>
        </w:rPr>
        <w:t xml:space="preserve">указанных в </w:t>
      </w:r>
      <w:r>
        <w:fldChar w:fldCharType="begin"/>
      </w:r>
      <w:r>
        <w:instrText xml:space="preserve"> HYPERLINK \l "Средства" </w:instrText>
      </w:r>
      <w:r>
        <w:fldChar w:fldCharType="separate"/>
      </w:r>
      <w:r>
        <w:rPr>
          <w:rStyle w:val="17"/>
          <w:rFonts w:ascii="Times New Roman" w:hAnsi="Times New Roman"/>
          <w:sz w:val="28"/>
        </w:rPr>
        <w:t xml:space="preserve">пункте </w:t>
      </w:r>
      <w:r>
        <w:rPr>
          <w:rStyle w:val="17"/>
          <w:rFonts w:ascii="Times New Roman" w:hAnsi="Times New Roman"/>
          <w:sz w:val="28"/>
          <w:szCs w:val="28"/>
        </w:rPr>
        <w:t>7</w:t>
      </w:r>
      <w:r>
        <w:rPr>
          <w:rStyle w:val="17"/>
          <w:rFonts w:ascii="Times New Roman" w:hAnsi="Times New Roman"/>
          <w:sz w:val="28"/>
          <w:szCs w:val="28"/>
        </w:rPr>
        <w:fldChar w:fldCharType="end"/>
      </w:r>
      <w:r>
        <w:rPr>
          <w:rStyle w:val="17"/>
          <w:rFonts w:ascii="Times New Roman" w:hAnsi="Times New Roman"/>
          <w:sz w:val="28"/>
          <w:szCs w:val="28"/>
        </w:rPr>
        <w:t>7</w:t>
      </w:r>
      <w:r>
        <w:rPr>
          <w:rFonts w:ascii="Times New Roman" w:hAnsi="Times New Roman"/>
          <w:color w:val="000000" w:themeColor="text1"/>
          <w:sz w:val="28"/>
          <w:szCs w:val="28"/>
          <w14:textFill>
            <w14:solidFill>
              <w14:schemeClr w14:val="tx1"/>
            </w14:solidFill>
          </w14:textFill>
        </w:rPr>
        <w:t xml:space="preserve"> и </w:t>
      </w:r>
      <w:r>
        <w:fldChar w:fldCharType="begin"/>
      </w:r>
      <w:r>
        <w:instrText xml:space="preserve"> HYPERLINK \l "Продажа" </w:instrText>
      </w:r>
      <w:r>
        <w:fldChar w:fldCharType="separate"/>
      </w:r>
      <w:r>
        <w:rPr>
          <w:rStyle w:val="17"/>
          <w:rFonts w:ascii="Times New Roman" w:hAnsi="Times New Roman"/>
          <w:sz w:val="28"/>
          <w:szCs w:val="28"/>
        </w:rPr>
        <w:t xml:space="preserve">подпункте 15 пункта 86 </w:t>
      </w:r>
      <w:r>
        <w:rPr>
          <w:rStyle w:val="17"/>
          <w:rFonts w:ascii="Times New Roman" w:hAnsi="Times New Roman"/>
          <w:sz w:val="28"/>
        </w:rPr>
        <w:t>настоящих Методических рекомендаций</w:t>
      </w:r>
      <w:r>
        <w:rPr>
          <w:rStyle w:val="17"/>
          <w:rFonts w:ascii="Times New Roman" w:hAnsi="Times New Roman"/>
          <w:sz w:val="28"/>
        </w:rPr>
        <w:fldChar w:fldCharType="end"/>
      </w:r>
      <w:r>
        <w:rPr>
          <w:rFonts w:ascii="Times New Roman" w:hAnsi="Times New Roman"/>
          <w:color w:val="000000" w:themeColor="text1"/>
          <w:sz w:val="28"/>
          <w:szCs w:val="28"/>
          <w14:textFill>
            <w14:solidFill>
              <w14:schemeClr w14:val="tx1"/>
            </w14:solidFill>
          </w14:textFill>
        </w:rPr>
        <w:t>).</w:t>
      </w:r>
    </w:p>
    <w:p w14:paraId="2AFB3665">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Рекомендуется хранить документы, связанные с вкладами (счетами) в банке или иной кредитной организации, закрытыми в период с отчетной даты до даты представления Сведений. В связи с тем, что по состоянию на 31 декабря отчетного года счет был открыт, но на момент заполнения справки счет закрыт, кредитная организация может отказать в предоставлении информации, касающейся такого счета.</w:t>
      </w:r>
    </w:p>
    <w:p w14:paraId="0262966A">
      <w:pPr>
        <w:pStyle w:val="193"/>
        <w:numPr>
          <w:ilvl w:val="0"/>
          <w:numId w:val="1"/>
        </w:numPr>
        <w:tabs>
          <w:tab w:val="left" w:pos="567"/>
        </w:tabs>
        <w:ind w:left="0" w:firstLine="567"/>
        <w:rPr>
          <w:rFonts w:ascii="Times New Roman" w:hAnsi="Times New Roman"/>
          <w:sz w:val="28"/>
          <w:szCs w:val="28"/>
        </w:rPr>
      </w:pPr>
      <w:bookmarkStart w:id="34" w:name="Средства"/>
      <w:r>
        <w:rPr>
          <w:rFonts w:ascii="Times New Roman" w:hAnsi="Times New Roman"/>
          <w:sz w:val="28"/>
          <w:szCs w:val="28"/>
        </w:rPr>
        <w:t>Денежные средства, выплачиваемые кредитной организацией вкладчику (владельцу счета) при закрытии вклада (счета), в том числе вклада (счета) в драгоценных металлах, за исключением процентов по вкладу (счету), не подлежат отражению в справке.</w:t>
      </w:r>
    </w:p>
    <w:bookmarkEnd w:id="34"/>
    <w:p w14:paraId="6576C3A9">
      <w:pPr>
        <w:pStyle w:val="193"/>
        <w:tabs>
          <w:tab w:val="left" w:pos="567"/>
          <w:tab w:val="left" w:pos="1276"/>
        </w:tabs>
        <w:ind w:left="0" w:firstLine="567"/>
        <w:rPr>
          <w:rFonts w:ascii="Times New Roman" w:hAnsi="Times New Roman"/>
          <w:sz w:val="28"/>
          <w:szCs w:val="28"/>
        </w:rPr>
      </w:pPr>
      <w:r>
        <w:rPr>
          <w:rFonts w:ascii="Times New Roman" w:hAnsi="Times New Roman"/>
          <w:sz w:val="28"/>
          <w:szCs w:val="28"/>
        </w:rPr>
        <w:t xml:space="preserve">В случае наличия сведений о выплаченных денежных средствах при закрытии вклада (счета), в том числе вклада (счета) в драгоценных металлах, за исключением процентов по вкладу (счету), в информации, </w:t>
      </w:r>
      <w:r>
        <w:rPr>
          <w:rStyle w:val="191"/>
          <w:rFonts w:ascii="Times New Roman" w:hAnsi="Times New Roman" w:cs="Times New Roman"/>
          <w:sz w:val="28"/>
          <w:szCs w:val="28"/>
        </w:rPr>
        <w:t>полученной в рамках Указания Банка России № 5798-У, такие сведения не отражаются в справке.</w:t>
      </w:r>
    </w:p>
    <w:p w14:paraId="1B310C32">
      <w:pPr>
        <w:pStyle w:val="193"/>
        <w:tabs>
          <w:tab w:val="left" w:pos="567"/>
          <w:tab w:val="left" w:pos="1276"/>
        </w:tabs>
        <w:ind w:left="0" w:firstLine="567"/>
        <w:outlineLvl w:val="2"/>
        <w:rPr>
          <w:rFonts w:ascii="Times New Roman" w:hAnsi="Times New Roman"/>
          <w:b/>
          <w:sz w:val="28"/>
          <w:szCs w:val="28"/>
        </w:rPr>
      </w:pPr>
      <w:bookmarkStart w:id="35" w:name="_Toc225936073"/>
      <w:r>
        <w:rPr>
          <w:rFonts w:ascii="Times New Roman" w:hAnsi="Times New Roman"/>
          <w:b/>
          <w:sz w:val="28"/>
          <w:szCs w:val="28"/>
        </w:rPr>
        <w:t>Доход от ценных бумаг и долей участия в коммерческих организациях</w:t>
      </w:r>
      <w:bookmarkEnd w:id="35"/>
    </w:p>
    <w:p w14:paraId="43AD89AC">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В данной строке указывается сумма доходов от ценных бумаг и долей участия в коммерческих организациях, в том числе при владении инвестиционным фондом, включающая:</w:t>
      </w:r>
    </w:p>
    <w:p w14:paraId="73875C1B">
      <w:pPr>
        <w:pStyle w:val="193"/>
        <w:tabs>
          <w:tab w:val="left" w:pos="567"/>
        </w:tabs>
        <w:ind w:left="0" w:firstLine="567"/>
        <w:rPr>
          <w:rFonts w:ascii="Times New Roman" w:hAnsi="Times New Roman"/>
          <w:sz w:val="28"/>
          <w:szCs w:val="28"/>
        </w:rPr>
      </w:pPr>
      <w:r>
        <w:rPr>
          <w:rFonts w:ascii="Times New Roman" w:hAnsi="Times New Roman"/>
          <w:sz w:val="28"/>
          <w:szCs w:val="28"/>
        </w:rPr>
        <w:t>1) дивиденды, полученные служащим (работником), членом его семьи – акционером (участником) от организации при распределении прибыли, остающейся после налогообложения (в том числе в виде процентов по привилегированным акциям), по принадлежащим акционеру (участнику) акциям (долям) пропорционально долям акционеров (участников) в уставном (складочном) капитале этой организации;</w:t>
      </w:r>
    </w:p>
    <w:p w14:paraId="2AE562BC">
      <w:pPr>
        <w:pStyle w:val="193"/>
        <w:tabs>
          <w:tab w:val="left" w:pos="567"/>
        </w:tabs>
        <w:ind w:left="0" w:firstLine="567"/>
        <w:rPr>
          <w:rFonts w:ascii="Times New Roman" w:hAnsi="Times New Roman"/>
          <w:sz w:val="28"/>
          <w:szCs w:val="28"/>
        </w:rPr>
      </w:pPr>
      <w:r>
        <w:rPr>
          <w:rFonts w:ascii="Times New Roman" w:hAnsi="Times New Roman"/>
          <w:sz w:val="28"/>
          <w:szCs w:val="28"/>
        </w:rPr>
        <w:t>2) выплаченный купонный доход по облигациям, уменьшенный на уплаченный накопленный купонный доход при приобретении облигации (если в соответствии с требованиями Налогового кодекса Российской Федерации он не должен учитываться при расчете финансового результата в соответствии со статьей 214.1 Налогового кодекса Российской Федерации);</w:t>
      </w:r>
    </w:p>
    <w:p w14:paraId="3D098191">
      <w:pPr>
        <w:pStyle w:val="193"/>
        <w:tabs>
          <w:tab w:val="left" w:pos="567"/>
        </w:tabs>
        <w:ind w:left="0" w:firstLine="567"/>
        <w:rPr>
          <w:rFonts w:ascii="Times New Roman" w:hAnsi="Times New Roman"/>
          <w:sz w:val="28"/>
          <w:szCs w:val="28"/>
        </w:rPr>
      </w:pPr>
      <w:r>
        <w:rPr>
          <w:rFonts w:ascii="Times New Roman" w:hAnsi="Times New Roman"/>
          <w:sz w:val="28"/>
          <w:szCs w:val="28"/>
        </w:rPr>
        <w:t>3) дисконт, полученный в качестве дохода по облигациям;</w:t>
      </w:r>
    </w:p>
    <w:p w14:paraId="1AA2B1B1">
      <w:pPr>
        <w:pStyle w:val="193"/>
        <w:tabs>
          <w:tab w:val="left" w:pos="567"/>
          <w:tab w:val="left" w:pos="1276"/>
        </w:tabs>
        <w:ind w:left="0" w:firstLine="567"/>
        <w:rPr>
          <w:rFonts w:ascii="Times New Roman" w:hAnsi="Times New Roman"/>
          <w:sz w:val="28"/>
          <w:szCs w:val="28"/>
        </w:rPr>
      </w:pPr>
      <w:r>
        <w:rPr>
          <w:rFonts w:ascii="Times New Roman" w:hAnsi="Times New Roman"/>
          <w:sz w:val="28"/>
          <w:szCs w:val="28"/>
        </w:rPr>
        <w:t>4) доход от операций с ценными бумагами, в том числе доход от погашения (продажи) сберегательных сертификатов и погашения (продажи) облигаций, а также доход от операций репо, объектом которых являются ценные бумаги, и доход по операциям с ценными бумагами, учитываемым на индивидуальном инвестиционном счете, которые выражаются в величине суммы финансового результата, определяемого в порядке и сроки, предусмотренные главой 23 Налогового кодекса Российской Федерации</w:t>
      </w:r>
      <w:r>
        <w:rPr>
          <w:rFonts w:ascii="Times New Roman" w:hAnsi="Times New Roman"/>
          <w:sz w:val="28"/>
          <w:szCs w:val="28"/>
          <w:shd w:val="clear" w:color="auto" w:fill="FFFFFF"/>
        </w:rPr>
        <w:t>.</w:t>
      </w:r>
      <w:r>
        <w:rPr>
          <w:rFonts w:ascii="Times New Roman" w:hAnsi="Times New Roman"/>
          <w:sz w:val="28"/>
          <w:szCs w:val="28"/>
        </w:rPr>
        <w:t xml:space="preserve"> Нулевой или отрицательный доход (нулевой или отрицательный финансовый результат) в справке не указывается. Сами ценные бумаги указываются в разделе 5 справки (в случае если по состоянию на отчетную дату служащий (работник), член его семьи обладал такими бумагами). Рекомендуется учитывать содержание графы "Налоговая база" соответствующей Справки о доходах и суммах налога физического лица. </w:t>
      </w:r>
    </w:p>
    <w:p w14:paraId="46815BF7">
      <w:pPr>
        <w:pStyle w:val="193"/>
        <w:tabs>
          <w:tab w:val="left" w:pos="567"/>
          <w:tab w:val="left" w:pos="1276"/>
        </w:tabs>
        <w:ind w:left="0" w:firstLine="567"/>
        <w:rPr>
          <w:rFonts w:ascii="Times New Roman" w:hAnsi="Times New Roman"/>
          <w:sz w:val="28"/>
          <w:szCs w:val="28"/>
        </w:rPr>
      </w:pPr>
      <w:r>
        <w:rPr>
          <w:rFonts w:ascii="Times New Roman" w:hAnsi="Times New Roman"/>
          <w:sz w:val="28"/>
          <w:szCs w:val="28"/>
        </w:rPr>
        <w:t>Доход от ценных бумаг и долей участия в коммерческих организациях указывается единым значением по совокупности соответствующих операций.</w:t>
      </w:r>
    </w:p>
    <w:p w14:paraId="6BB1E18D">
      <w:pPr>
        <w:pStyle w:val="193"/>
        <w:tabs>
          <w:tab w:val="left" w:pos="567"/>
          <w:tab w:val="left" w:pos="1276"/>
        </w:tabs>
        <w:ind w:left="0" w:firstLine="567"/>
        <w:outlineLvl w:val="2"/>
        <w:rPr>
          <w:rFonts w:ascii="Times New Roman" w:hAnsi="Times New Roman"/>
          <w:b/>
          <w:sz w:val="28"/>
          <w:szCs w:val="28"/>
        </w:rPr>
      </w:pPr>
      <w:bookmarkStart w:id="36" w:name="_Toc225936074"/>
      <w:r>
        <w:rPr>
          <w:rFonts w:ascii="Times New Roman" w:hAnsi="Times New Roman"/>
          <w:b/>
          <w:sz w:val="28"/>
          <w:szCs w:val="28"/>
        </w:rPr>
        <w:t>Иные доходы</w:t>
      </w:r>
      <w:bookmarkEnd w:id="36"/>
    </w:p>
    <w:p w14:paraId="2226E1B9">
      <w:pPr>
        <w:pStyle w:val="28"/>
        <w:numPr>
          <w:ilvl w:val="0"/>
          <w:numId w:val="1"/>
        </w:numPr>
        <w:shd w:val="clear" w:color="auto" w:fill="auto"/>
        <w:tabs>
          <w:tab w:val="left" w:pos="142"/>
          <w:tab w:val="left" w:pos="567"/>
        </w:tabs>
        <w:spacing w:after="0" w:line="240" w:lineRule="auto"/>
        <w:ind w:left="0" w:firstLine="567"/>
        <w:rPr>
          <w:rStyle w:val="191"/>
          <w:rFonts w:ascii="Times New Roman" w:hAnsi="Times New Roman" w:cs="Times New Roman"/>
          <w:color w:val="000000"/>
          <w:sz w:val="28"/>
          <w:szCs w:val="28"/>
        </w:rPr>
      </w:pPr>
      <w:r>
        <w:rPr>
          <w:rStyle w:val="191"/>
          <w:rFonts w:ascii="Times New Roman" w:hAnsi="Times New Roman" w:cs="Times New Roman"/>
          <w:color w:val="000000"/>
          <w:sz w:val="28"/>
          <w:szCs w:val="28"/>
        </w:rPr>
        <w:t xml:space="preserve">В данной строке указываются выплаченные в отчетном периоде доходы, которые не были отражены в вышеуказанных строках справки. </w:t>
      </w:r>
    </w:p>
    <w:p w14:paraId="48AE47A7">
      <w:pPr>
        <w:pStyle w:val="28"/>
        <w:shd w:val="clear" w:color="auto" w:fill="auto"/>
        <w:tabs>
          <w:tab w:val="left" w:pos="142"/>
          <w:tab w:val="left" w:pos="567"/>
        </w:tabs>
        <w:spacing w:after="0" w:line="240" w:lineRule="auto"/>
        <w:ind w:firstLine="567"/>
        <w:rPr>
          <w:rStyle w:val="191"/>
          <w:rFonts w:ascii="Times New Roman" w:hAnsi="Times New Roman" w:cs="Times New Roman"/>
          <w:sz w:val="28"/>
          <w:szCs w:val="28"/>
        </w:rPr>
      </w:pPr>
      <w:r>
        <w:rPr>
          <w:rStyle w:val="191"/>
          <w:rFonts w:ascii="Times New Roman" w:hAnsi="Times New Roman" w:cs="Times New Roman"/>
          <w:sz w:val="28"/>
          <w:szCs w:val="28"/>
        </w:rPr>
        <w:t xml:space="preserve">Так, например, в строке </w:t>
      </w:r>
      <w:r>
        <w:rPr>
          <w:rStyle w:val="191"/>
          <w:rFonts w:ascii="Times New Roman" w:hAnsi="Times New Roman" w:cs="Times New Roman"/>
          <w:b/>
          <w:sz w:val="28"/>
          <w:szCs w:val="28"/>
        </w:rPr>
        <w:t>"Иные</w:t>
      </w:r>
      <w:r>
        <w:rPr>
          <w:rStyle w:val="191"/>
          <w:rFonts w:ascii="Times New Roman" w:hAnsi="Times New Roman"/>
          <w:b/>
          <w:sz w:val="28"/>
        </w:rPr>
        <w:t xml:space="preserve"> доходы</w:t>
      </w:r>
      <w:r>
        <w:rPr>
          <w:rStyle w:val="191"/>
          <w:rFonts w:ascii="Times New Roman" w:hAnsi="Times New Roman" w:cs="Times New Roman"/>
          <w:b/>
          <w:sz w:val="28"/>
          <w:szCs w:val="28"/>
        </w:rPr>
        <w:t>"</w:t>
      </w:r>
      <w:r>
        <w:rPr>
          <w:rStyle w:val="191"/>
          <w:rFonts w:ascii="Times New Roman" w:hAnsi="Times New Roman" w:cs="Times New Roman"/>
          <w:sz w:val="28"/>
          <w:szCs w:val="28"/>
        </w:rPr>
        <w:t xml:space="preserve"> могут быть указаны: </w:t>
      </w:r>
    </w:p>
    <w:p w14:paraId="60FFBC84">
      <w:pPr>
        <w:pStyle w:val="28"/>
        <w:numPr>
          <w:ilvl w:val="0"/>
          <w:numId w:val="5"/>
        </w:numPr>
        <w:shd w:val="clear" w:color="auto" w:fill="auto"/>
        <w:tabs>
          <w:tab w:val="left" w:pos="142"/>
          <w:tab w:val="left" w:pos="567"/>
          <w:tab w:val="left" w:pos="1134"/>
        </w:tabs>
        <w:spacing w:after="0" w:line="240" w:lineRule="auto"/>
        <w:ind w:left="0" w:firstLine="567"/>
        <w:rPr>
          <w:rStyle w:val="191"/>
          <w:rFonts w:ascii="Times New Roman" w:hAnsi="Times New Roman" w:cs="Times New Roman"/>
          <w:sz w:val="28"/>
          <w:szCs w:val="28"/>
        </w:rPr>
      </w:pPr>
      <w:r>
        <w:rPr>
          <w:rStyle w:val="191"/>
          <w:rFonts w:ascii="Times New Roman" w:hAnsi="Times New Roman" w:cs="Times New Roman"/>
          <w:sz w:val="28"/>
          <w:szCs w:val="28"/>
        </w:rPr>
        <w:t xml:space="preserve">государственная и негосударственная пенсии </w:t>
      </w:r>
      <w:r>
        <w:rPr>
          <w:rFonts w:ascii="Times New Roman" w:hAnsi="Times New Roman" w:cs="Times New Roman"/>
          <w:sz w:val="28"/>
          <w:szCs w:val="28"/>
        </w:rPr>
        <w:t>(при этом разные виды пенсий (по возрасту и пенсия военнослужащего) не следует суммировать)</w:t>
      </w:r>
      <w:r>
        <w:rPr>
          <w:rStyle w:val="191"/>
          <w:rFonts w:ascii="Times New Roman" w:hAnsi="Times New Roman" w:cs="Times New Roman"/>
          <w:sz w:val="28"/>
          <w:szCs w:val="28"/>
        </w:rPr>
        <w:t>;</w:t>
      </w:r>
    </w:p>
    <w:p w14:paraId="4DEFEE8A">
      <w:pPr>
        <w:pStyle w:val="28"/>
        <w:numPr>
          <w:ilvl w:val="0"/>
          <w:numId w:val="5"/>
        </w:numPr>
        <w:shd w:val="clear" w:color="auto" w:fill="auto"/>
        <w:tabs>
          <w:tab w:val="left" w:pos="142"/>
          <w:tab w:val="left" w:pos="567"/>
          <w:tab w:val="left" w:pos="1134"/>
        </w:tabs>
        <w:spacing w:after="0" w:line="240" w:lineRule="auto"/>
        <w:ind w:left="0" w:firstLine="567"/>
        <w:rPr>
          <w:rFonts w:ascii="Times New Roman" w:hAnsi="Times New Roman" w:cs="Times New Roman"/>
          <w:sz w:val="28"/>
          <w:szCs w:val="28"/>
        </w:rPr>
      </w:pPr>
      <w:r>
        <w:rPr>
          <w:rFonts w:ascii="Times New Roman" w:hAnsi="Times New Roman" w:cs="Times New Roman"/>
          <w:sz w:val="28"/>
          <w:szCs w:val="28"/>
        </w:rPr>
        <w:t xml:space="preserve">доплаты к пенсиям, выплачиваемые в соответствии с законодательством Российской Федерации и законодательством субъектов Российской Федерации. Сведения о сумме произведенных доплат можно получить в территориальном органе Фонда пенсионного и социального страхования Российской Федерации по месту нахождения пенсионного дела либо в органах социальной защиты субъекта Российской Федерации; </w:t>
      </w:r>
    </w:p>
    <w:p w14:paraId="089F1521">
      <w:pPr>
        <w:pStyle w:val="194"/>
        <w:numPr>
          <w:ilvl w:val="0"/>
          <w:numId w:val="5"/>
        </w:numPr>
        <w:tabs>
          <w:tab w:val="left" w:pos="142"/>
          <w:tab w:val="left" w:pos="567"/>
          <w:tab w:val="left" w:pos="1134"/>
        </w:tabs>
        <w:ind w:left="0" w:firstLine="567"/>
        <w:rPr>
          <w:color w:val="auto"/>
          <w:sz w:val="28"/>
          <w:szCs w:val="28"/>
        </w:rPr>
      </w:pPr>
      <w:r>
        <w:rPr>
          <w:rStyle w:val="191"/>
          <w:rFonts w:ascii="Times New Roman" w:hAnsi="Times New Roman" w:cs="Times New Roman"/>
          <w:sz w:val="28"/>
          <w:szCs w:val="28"/>
        </w:rPr>
        <w:t xml:space="preserve">все виды пособий (пособие </w:t>
      </w:r>
      <w:r>
        <w:rPr>
          <w:sz w:val="28"/>
          <w:szCs w:val="28"/>
        </w:rPr>
        <w:t>по временной нетрудоспособности, по беременности и родам, единовременное пособие женщинам, вставшим на учет в медицинских учреждениях в ранние сроки беременности, единовременное пособие при рождении ребенка, ежемесячное пособие по уходу за ребенком, социальное пособие на погребение, подъемное пособие</w:t>
      </w:r>
      <w:r>
        <w:rPr>
          <w:rStyle w:val="191"/>
          <w:rFonts w:ascii="Times New Roman" w:hAnsi="Times New Roman" w:cs="Times New Roman"/>
          <w:sz w:val="28"/>
          <w:szCs w:val="28"/>
        </w:rPr>
        <w:t xml:space="preserve"> и др.</w:t>
      </w:r>
      <w:r>
        <w:rPr>
          <w:color w:val="auto"/>
          <w:sz w:val="28"/>
          <w:szCs w:val="28"/>
        </w:rPr>
        <w:t xml:space="preserve">), если данные выплаты не были включены в Справку </w:t>
      </w:r>
      <w:r>
        <w:rPr>
          <w:sz w:val="28"/>
          <w:szCs w:val="28"/>
        </w:rPr>
        <w:t>о доходах и суммах налога физического лица</w:t>
      </w:r>
      <w:r>
        <w:rPr>
          <w:color w:val="auto"/>
          <w:sz w:val="28"/>
          <w:szCs w:val="28"/>
        </w:rPr>
        <w:t xml:space="preserve">, выдаваемую по месту службы (работы). </w:t>
      </w:r>
    </w:p>
    <w:p w14:paraId="59FA432A">
      <w:pPr>
        <w:pStyle w:val="194"/>
        <w:tabs>
          <w:tab w:val="left" w:pos="142"/>
          <w:tab w:val="left" w:pos="567"/>
          <w:tab w:val="left" w:pos="1134"/>
        </w:tabs>
        <w:ind w:firstLine="567"/>
        <w:rPr>
          <w:color w:val="auto"/>
          <w:sz w:val="28"/>
          <w:szCs w:val="28"/>
        </w:rPr>
      </w:pPr>
      <w:r>
        <w:rPr>
          <w:color w:val="auto"/>
          <w:sz w:val="28"/>
          <w:szCs w:val="28"/>
        </w:rPr>
        <w:t xml:space="preserve">Пособие по временной нетрудоспособности в случае утраты трудоспособности вследствие заболевания или травмы, по общему правилу, выплачивается застрахованным лицам за первые три дня временной нетрудоспособности за счет средств страхователя, а за остальной период начиная с 4-го дня временной нетрудоспособности за счет средств соответствующего бюджета (статья 3 Федерального закона от 29 декабря 2006 г. № 255-ФЗ </w:t>
      </w:r>
      <w:r>
        <w:rPr>
          <w:sz w:val="28"/>
          <w:szCs w:val="28"/>
        </w:rPr>
        <w:t>"</w:t>
      </w:r>
      <w:r>
        <w:rPr>
          <w:color w:val="auto"/>
          <w:sz w:val="28"/>
          <w:szCs w:val="28"/>
        </w:rPr>
        <w:t>Об обязательном социальном страховании на случай временной нетрудоспособности и в связи с материнством</w:t>
      </w:r>
      <w:r>
        <w:rPr>
          <w:sz w:val="28"/>
          <w:szCs w:val="28"/>
        </w:rPr>
        <w:t>"</w:t>
      </w:r>
      <w:r>
        <w:rPr>
          <w:color w:val="auto"/>
          <w:sz w:val="28"/>
          <w:szCs w:val="28"/>
        </w:rPr>
        <w:t>). Денежные средства, полученные в рамках указанного пособия, отражаются без вычета налога на доходы физических лиц (в этой связи информацию рекомендуется получать из Личного кабинета налогоплательщика или посредством официального сайта Фонда пенсионного и социального страхования Российской Федерации);</w:t>
      </w:r>
    </w:p>
    <w:p w14:paraId="70EF9A97">
      <w:pPr>
        <w:pStyle w:val="28"/>
        <w:numPr>
          <w:ilvl w:val="0"/>
          <w:numId w:val="5"/>
        </w:numPr>
        <w:shd w:val="clear" w:color="auto" w:fill="auto"/>
        <w:tabs>
          <w:tab w:val="left" w:pos="142"/>
          <w:tab w:val="left" w:pos="567"/>
          <w:tab w:val="left" w:pos="1134"/>
        </w:tabs>
        <w:spacing w:after="0" w:line="240" w:lineRule="auto"/>
        <w:ind w:left="0" w:firstLine="567"/>
        <w:rPr>
          <w:rStyle w:val="191"/>
          <w:rFonts w:ascii="Times New Roman" w:hAnsi="Times New Roman" w:cs="Times New Roman"/>
          <w:color w:val="000000"/>
          <w:sz w:val="28"/>
          <w:szCs w:val="28"/>
        </w:rPr>
      </w:pPr>
      <w:r>
        <w:rPr>
          <w:rFonts w:ascii="Times New Roman" w:hAnsi="Times New Roman" w:cs="Times New Roman"/>
          <w:sz w:val="28"/>
          <w:szCs w:val="28"/>
        </w:rPr>
        <w:t>государственный сертификат на материнский (семейный) капитал (в случае если в отчетном периоде служащий (работник) или его супруга (супруг) распорядился средствами материнского (семейного) капитала в полном объеме либо частично);</w:t>
      </w:r>
    </w:p>
    <w:p w14:paraId="330A881F">
      <w:pPr>
        <w:pStyle w:val="28"/>
        <w:numPr>
          <w:ilvl w:val="0"/>
          <w:numId w:val="5"/>
        </w:numPr>
        <w:shd w:val="clear" w:color="auto" w:fill="auto"/>
        <w:tabs>
          <w:tab w:val="left" w:pos="142"/>
          <w:tab w:val="left" w:pos="567"/>
          <w:tab w:val="left" w:pos="1134"/>
        </w:tabs>
        <w:spacing w:after="0" w:line="240" w:lineRule="auto"/>
        <w:ind w:left="0" w:firstLine="567"/>
        <w:rPr>
          <w:rStyle w:val="191"/>
          <w:rFonts w:ascii="Times New Roman" w:hAnsi="Times New Roman" w:cs="Times New Roman"/>
          <w:color w:val="000000"/>
          <w:sz w:val="28"/>
          <w:szCs w:val="28"/>
        </w:rPr>
      </w:pPr>
      <w:r>
        <w:rPr>
          <w:rStyle w:val="191"/>
          <w:rFonts w:ascii="Times New Roman" w:hAnsi="Times New Roman" w:cs="Times New Roman"/>
          <w:color w:val="000000"/>
          <w:sz w:val="28"/>
          <w:szCs w:val="28"/>
        </w:rPr>
        <w:t xml:space="preserve">суммы, причитающиеся ребенку в качестве алиментов (за исключением алиментов, выплачиваемых в браке, кроме случая, </w:t>
      </w:r>
      <w:r>
        <w:rPr>
          <w:rStyle w:val="191"/>
          <w:rFonts w:ascii="Times New Roman" w:hAnsi="Times New Roman"/>
          <w:color w:val="000000"/>
          <w:sz w:val="28"/>
        </w:rPr>
        <w:t xml:space="preserve">предусмотренного </w:t>
      </w:r>
      <w:r>
        <w:fldChar w:fldCharType="begin"/>
      </w:r>
      <w:r>
        <w:instrText xml:space="preserve"> HYPERLINK \l "Причины" </w:instrText>
      </w:r>
      <w:r>
        <w:fldChar w:fldCharType="separate"/>
      </w:r>
      <w:r>
        <w:rPr>
          <w:rStyle w:val="17"/>
          <w:rFonts w:ascii="Times New Roman" w:hAnsi="Times New Roman"/>
          <w:sz w:val="28"/>
          <w:shd w:val="clear" w:color="auto" w:fill="FFFFFF"/>
        </w:rPr>
        <w:t>пунктом 41</w:t>
      </w:r>
      <w:r>
        <w:rPr>
          <w:rStyle w:val="17"/>
          <w:rFonts w:ascii="Times New Roman" w:hAnsi="Times New Roman" w:cs="Times New Roman"/>
          <w:sz w:val="28"/>
          <w:szCs w:val="28"/>
          <w:shd w:val="clear" w:color="auto" w:fill="FFFFFF"/>
        </w:rPr>
        <w:t xml:space="preserve"> настоящих</w:t>
      </w:r>
      <w:r>
        <w:rPr>
          <w:rStyle w:val="17"/>
          <w:rFonts w:ascii="Times New Roman" w:hAnsi="Times New Roman"/>
          <w:sz w:val="28"/>
          <w:shd w:val="clear" w:color="auto" w:fill="FFFFFF"/>
        </w:rPr>
        <w:t xml:space="preserve"> Методических рекомендаций</w:t>
      </w:r>
      <w:r>
        <w:rPr>
          <w:rStyle w:val="17"/>
          <w:rFonts w:ascii="Times New Roman" w:hAnsi="Times New Roman"/>
          <w:sz w:val="28"/>
          <w:shd w:val="clear" w:color="auto" w:fill="FFFFFF"/>
        </w:rPr>
        <w:fldChar w:fldCharType="end"/>
      </w:r>
      <w:r>
        <w:rPr>
          <w:rStyle w:val="191"/>
          <w:rFonts w:ascii="Times New Roman" w:hAnsi="Times New Roman"/>
          <w:color w:val="000000"/>
          <w:sz w:val="28"/>
        </w:rPr>
        <w:t xml:space="preserve"> </w:t>
      </w:r>
      <w:r>
        <w:rPr>
          <w:rStyle w:val="191"/>
          <w:rFonts w:ascii="Times New Roman" w:hAnsi="Times New Roman" w:cs="Times New Roman"/>
          <w:color w:val="000000"/>
          <w:sz w:val="28"/>
          <w:szCs w:val="28"/>
        </w:rPr>
        <w:t xml:space="preserve">– при невозможности по объективным причинам представить Сведения на супругу (супруга) и (или) несовершеннолетних детей), пенсий, пособий (данные средства указываются в справке одного из родителей). В случае, если указанные суммы выплачиваются посредством перечисления денежных средств на счет в банке, открытый на имя несовершеннолетнего ребенка, то такие сведения отражаются в справке несовершеннолетнего ребенка в строке </w:t>
      </w:r>
      <w:r>
        <w:rPr>
          <w:rStyle w:val="191"/>
          <w:rFonts w:ascii="Times New Roman" w:hAnsi="Times New Roman"/>
          <w:b/>
          <w:color w:val="000000"/>
          <w:sz w:val="28"/>
        </w:rPr>
        <w:t>"Иные доходы"</w:t>
      </w:r>
      <w:r>
        <w:rPr>
          <w:rStyle w:val="191"/>
          <w:rFonts w:ascii="Times New Roman" w:hAnsi="Times New Roman" w:cs="Times New Roman"/>
          <w:color w:val="000000"/>
          <w:sz w:val="28"/>
          <w:szCs w:val="28"/>
        </w:rPr>
        <w:t>, а сведения о счете – в разделе 4 справки;</w:t>
      </w:r>
    </w:p>
    <w:p w14:paraId="3614CB14">
      <w:pPr>
        <w:pStyle w:val="28"/>
        <w:numPr>
          <w:ilvl w:val="0"/>
          <w:numId w:val="5"/>
        </w:numPr>
        <w:shd w:val="clear" w:color="auto" w:fill="auto"/>
        <w:tabs>
          <w:tab w:val="left" w:pos="142"/>
          <w:tab w:val="left" w:pos="567"/>
          <w:tab w:val="left" w:pos="1134"/>
        </w:tabs>
        <w:spacing w:after="0" w:line="240" w:lineRule="auto"/>
        <w:ind w:left="0" w:firstLine="567"/>
        <w:rPr>
          <w:rStyle w:val="191"/>
          <w:rFonts w:ascii="Times New Roman" w:hAnsi="Times New Roman" w:cs="Times New Roman"/>
          <w:color w:val="000000"/>
          <w:sz w:val="28"/>
          <w:szCs w:val="28"/>
        </w:rPr>
      </w:pPr>
      <w:r>
        <w:rPr>
          <w:rStyle w:val="191"/>
          <w:rFonts w:ascii="Times New Roman" w:hAnsi="Times New Roman" w:cs="Times New Roman"/>
          <w:color w:val="000000"/>
          <w:sz w:val="28"/>
          <w:szCs w:val="28"/>
        </w:rPr>
        <w:t>стипендия;</w:t>
      </w:r>
    </w:p>
    <w:p w14:paraId="56BF927C">
      <w:pPr>
        <w:pStyle w:val="193"/>
        <w:numPr>
          <w:ilvl w:val="0"/>
          <w:numId w:val="5"/>
        </w:numPr>
        <w:tabs>
          <w:tab w:val="left" w:pos="142"/>
          <w:tab w:val="left" w:pos="567"/>
          <w:tab w:val="left" w:pos="1134"/>
        </w:tabs>
        <w:ind w:left="0" w:firstLine="567"/>
        <w:rPr>
          <w:rFonts w:ascii="Times New Roman" w:hAnsi="Times New Roman"/>
          <w:sz w:val="28"/>
          <w:szCs w:val="28"/>
        </w:rPr>
      </w:pPr>
      <w:r>
        <w:rPr>
          <w:rFonts w:ascii="Times New Roman" w:hAnsi="Times New Roman"/>
          <w:sz w:val="28"/>
          <w:szCs w:val="28"/>
        </w:rPr>
        <w:t>единовременная субсидия на приобретение жилого помещения (в случае если в отчетном периоде денежные средства перечислены на банковский счет служащего (работника); или иного физического (юридического) лица в соответствии с нормативным правовым актом Российской Федерации) и иные аналогичные выплаты, например денежные средства, полученные участником накопительно-ипотечной системы жилищного обеспечения военнослужащих (</w:t>
      </w:r>
      <w:r>
        <w:rPr>
          <w:rFonts w:ascii="Times New Roman" w:hAnsi="Times New Roman"/>
          <w:color w:val="000000"/>
          <w:sz w:val="28"/>
          <w:szCs w:val="28"/>
        </w:rPr>
        <w:t>данный займ не подлежит возврату и указывается в разделе 1 справки как доход, в случае, если общая продолжительность военной службы, в том числе в льготном исчислении, у военнослужащего составила более двадцати лет, либо при его увольнении по состоянию здоровья – в связи с признанием военно-врачебной комиссией не годным к военной службе при наличии выслуги десяти лет и более. В иных случаях займ подлежит возврату и указывается в подразделе 6.2 раздела 6 справки, например, при увольнении военнослужащего при отсутствии выслуги двадцати лет (при условии отсутствия соответствующих заболеваний)</w:t>
      </w:r>
      <w:r>
        <w:rPr>
          <w:rFonts w:ascii="Times New Roman" w:hAnsi="Times New Roman"/>
          <w:sz w:val="28"/>
          <w:szCs w:val="28"/>
        </w:rPr>
        <w:t xml:space="preserve">, либо полученные в виде разовой социальной выплаты на погашение части стоимости строительства или приобретения жилья (в случае если в отчетном периоде на счет служащего (работника) либо его супруги (супруга) перечислены денежные средства данной выплаты); </w:t>
      </w:r>
    </w:p>
    <w:p w14:paraId="0E637F2F">
      <w:pPr>
        <w:pStyle w:val="28"/>
        <w:numPr>
          <w:ilvl w:val="0"/>
          <w:numId w:val="5"/>
        </w:numPr>
        <w:shd w:val="clear" w:color="auto" w:fill="auto"/>
        <w:tabs>
          <w:tab w:val="left" w:pos="142"/>
          <w:tab w:val="left" w:pos="567"/>
          <w:tab w:val="left" w:pos="1134"/>
        </w:tabs>
        <w:spacing w:after="0" w:line="240" w:lineRule="auto"/>
        <w:ind w:left="0" w:firstLine="567"/>
        <w:rPr>
          <w:rStyle w:val="191"/>
          <w:rFonts w:ascii="Times New Roman" w:hAnsi="Times New Roman" w:cs="Times New Roman"/>
          <w:sz w:val="28"/>
          <w:szCs w:val="28"/>
        </w:rPr>
      </w:pPr>
      <w:r>
        <w:rPr>
          <w:rStyle w:val="191"/>
          <w:rFonts w:ascii="Times New Roman" w:hAnsi="Times New Roman" w:cs="Times New Roman"/>
          <w:sz w:val="28"/>
          <w:szCs w:val="28"/>
        </w:rPr>
        <w:t xml:space="preserve">доходы, полученные от сдачи в аренду или иного использования недвижимого имущества, транспортных средств, в том числе доходы, полученные от имущества, переданного в доверительное управление (траст); </w:t>
      </w:r>
    </w:p>
    <w:p w14:paraId="1A12E347">
      <w:pPr>
        <w:pStyle w:val="28"/>
        <w:numPr>
          <w:ilvl w:val="0"/>
          <w:numId w:val="5"/>
        </w:numPr>
        <w:shd w:val="clear" w:color="auto" w:fill="auto"/>
        <w:tabs>
          <w:tab w:val="left" w:pos="142"/>
          <w:tab w:val="left" w:pos="567"/>
          <w:tab w:val="left" w:pos="1134"/>
        </w:tabs>
        <w:spacing w:after="0" w:line="240" w:lineRule="auto"/>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color w:val="000000"/>
          <w:sz w:val="28"/>
          <w:szCs w:val="28"/>
        </w:rPr>
        <w:t>доходы от реализации недвижимого имущества, транспортных средств и иного имущества, в том числе в случае продажи указанного имущества членам семьи или иным родственникам (кроме продажи супруге (супругу) или несовершеннолетним детям (за исключением случая</w:t>
      </w:r>
      <w:r>
        <w:rPr>
          <w:rStyle w:val="191"/>
          <w:rFonts w:ascii="Times New Roman" w:hAnsi="Times New Roman"/>
          <w:color w:val="000000"/>
          <w:sz w:val="28"/>
        </w:rPr>
        <w:t xml:space="preserve">, предусмотренного </w:t>
      </w:r>
      <w:r>
        <w:fldChar w:fldCharType="begin"/>
      </w:r>
      <w:r>
        <w:instrText xml:space="preserve"> HYPERLINK \l "Причины" </w:instrText>
      </w:r>
      <w:r>
        <w:fldChar w:fldCharType="separate"/>
      </w:r>
      <w:r>
        <w:rPr>
          <w:rStyle w:val="17"/>
          <w:rFonts w:ascii="Times New Roman" w:hAnsi="Times New Roman"/>
          <w:sz w:val="28"/>
          <w:shd w:val="clear" w:color="auto" w:fill="FFFFFF"/>
        </w:rPr>
        <w:t xml:space="preserve">пунктом 41 </w:t>
      </w:r>
      <w:r>
        <w:rPr>
          <w:rStyle w:val="17"/>
          <w:rFonts w:ascii="Times New Roman" w:hAnsi="Times New Roman" w:cs="Times New Roman"/>
          <w:sz w:val="28"/>
          <w:szCs w:val="28"/>
          <w:shd w:val="clear" w:color="auto" w:fill="FFFFFF"/>
        </w:rPr>
        <w:t xml:space="preserve">настоящих </w:t>
      </w:r>
      <w:r>
        <w:rPr>
          <w:rStyle w:val="17"/>
          <w:rFonts w:ascii="Times New Roman" w:hAnsi="Times New Roman"/>
          <w:sz w:val="28"/>
          <w:shd w:val="clear" w:color="auto" w:fill="FFFFFF"/>
        </w:rPr>
        <w:t>Методических рекомендаций</w:t>
      </w:r>
      <w:r>
        <w:rPr>
          <w:rStyle w:val="17"/>
          <w:rFonts w:ascii="Times New Roman" w:hAnsi="Times New Roman"/>
          <w:sz w:val="28"/>
          <w:shd w:val="clear" w:color="auto" w:fill="FFFFFF"/>
        </w:rPr>
        <w:fldChar w:fldCharType="end"/>
      </w:r>
      <w:r>
        <w:rPr>
          <w:rStyle w:val="191"/>
          <w:rFonts w:ascii="Times New Roman" w:hAnsi="Times New Roman"/>
          <w:color w:val="000000"/>
          <w:sz w:val="28"/>
        </w:rPr>
        <w:t xml:space="preserve"> – при невозможности по объективным причинам представить Сведения на супругу (супруг</w:t>
      </w:r>
      <w:r>
        <w:rPr>
          <w:rStyle w:val="191"/>
          <w:rFonts w:ascii="Times New Roman" w:hAnsi="Times New Roman" w:cs="Times New Roman"/>
          <w:color w:val="000000"/>
          <w:sz w:val="28"/>
          <w:szCs w:val="28"/>
        </w:rPr>
        <w:t xml:space="preserve">а) и (или) несовершеннолетних детей)). </w:t>
      </w:r>
    </w:p>
    <w:p w14:paraId="61A5CCEB">
      <w:pPr>
        <w:pStyle w:val="28"/>
        <w:shd w:val="clear" w:color="auto" w:fill="auto"/>
        <w:tabs>
          <w:tab w:val="left" w:pos="142"/>
          <w:tab w:val="left" w:pos="567"/>
          <w:tab w:val="left" w:pos="1134"/>
        </w:tabs>
        <w:spacing w:after="0" w:line="240" w:lineRule="auto"/>
        <w:ind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В случае продажи в отчетном периоде нескольких объектов имущества информация о доходе от реализации каждого объекта указывается отдельным значением. </w:t>
      </w:r>
      <w:r>
        <w:rPr>
          <w:rStyle w:val="191"/>
          <w:rFonts w:ascii="Times New Roman" w:hAnsi="Times New Roman" w:cs="Times New Roman"/>
          <w:color w:val="000000"/>
          <w:sz w:val="28"/>
          <w:szCs w:val="28"/>
        </w:rPr>
        <w:t>Доход от реализации имущества указывается в полном объеме без вычета "комиссионных" и иных подобных выплат.</w:t>
      </w:r>
    </w:p>
    <w:p w14:paraId="30B34111">
      <w:pPr>
        <w:pStyle w:val="28"/>
        <w:shd w:val="clear" w:color="auto" w:fill="auto"/>
        <w:tabs>
          <w:tab w:val="left" w:pos="142"/>
          <w:tab w:val="left" w:pos="567"/>
          <w:tab w:val="left" w:pos="1134"/>
        </w:tabs>
        <w:spacing w:after="0" w:line="240" w:lineRule="auto"/>
        <w:ind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Отражению подлежат также денежные средства, полученные от продажи, например, ранее купленного транспортного средства в течение отчетного периода.</w:t>
      </w:r>
    </w:p>
    <w:p w14:paraId="67D40004">
      <w:pPr>
        <w:pStyle w:val="28"/>
        <w:shd w:val="clear" w:color="auto" w:fill="auto"/>
        <w:tabs>
          <w:tab w:val="left" w:pos="142"/>
          <w:tab w:val="left" w:pos="567"/>
          <w:tab w:val="left" w:pos="1134"/>
        </w:tabs>
        <w:spacing w:after="0" w:line="240" w:lineRule="auto"/>
        <w:ind w:firstLine="567"/>
        <w:rPr>
          <w:rFonts w:ascii="Times New Roman" w:hAnsi="Times New Roman" w:cs="Times New Roman"/>
          <w:sz w:val="28"/>
          <w:szCs w:val="28"/>
        </w:rPr>
      </w:pPr>
      <w:r>
        <w:rPr>
          <w:rStyle w:val="191"/>
          <w:rFonts w:ascii="Times New Roman" w:hAnsi="Times New Roman" w:cs="Times New Roman"/>
          <w:color w:val="000000"/>
          <w:sz w:val="28"/>
          <w:szCs w:val="28"/>
        </w:rPr>
        <w:t xml:space="preserve">При этом </w:t>
      </w:r>
      <w:r>
        <w:rPr>
          <w:rStyle w:val="191"/>
          <w:rFonts w:ascii="Times New Roman" w:hAnsi="Times New Roman" w:cs="Times New Roman"/>
          <w:sz w:val="28"/>
          <w:szCs w:val="28"/>
        </w:rPr>
        <w:t xml:space="preserve">рекомендуется </w:t>
      </w:r>
      <w:r>
        <w:rPr>
          <w:rStyle w:val="191"/>
          <w:rFonts w:ascii="Times New Roman" w:hAnsi="Times New Roman" w:cs="Times New Roman"/>
          <w:color w:val="000000"/>
          <w:sz w:val="28"/>
          <w:szCs w:val="28"/>
        </w:rPr>
        <w:t xml:space="preserve">указать вид и адрес проданного недвижимого имущества, вид и марку проданного транспортного средства (в том числе в случае </w:t>
      </w:r>
      <w:r>
        <w:rPr>
          <w:rFonts w:ascii="Times New Roman" w:hAnsi="Times New Roman" w:cs="Times New Roman"/>
          <w:sz w:val="28"/>
          <w:szCs w:val="28"/>
        </w:rPr>
        <w:t xml:space="preserve">зачета стоимости старого транспортного средства в стоимость при покупке нового по договорам "трейд-ин"). Например, служащий (работник), член его семьи приобрел в отчетном году в автосалоне новый автомобиль за 900 000 руб., при этом в ходе покупки автосалон оценил имевшийся у служащего (работника), члена его семьи старый автомобиль в 300 000 руб. и учел данные средства в качестве взноса при покупке нового автомобиля. Оставшуюся сумму служащий (работник), член его семьи выплатил автосалону. Сумма в размере 300 000 руб. является доходом и подлежит указанию в строке </w:t>
      </w:r>
      <w:r>
        <w:rPr>
          <w:rFonts w:ascii="Times New Roman" w:hAnsi="Times New Roman"/>
          <w:b/>
          <w:sz w:val="28"/>
        </w:rPr>
        <w:t>"Иные доходы"</w:t>
      </w:r>
      <w:r>
        <w:rPr>
          <w:rFonts w:ascii="Times New Roman" w:hAnsi="Times New Roman" w:cs="Times New Roman"/>
          <w:sz w:val="28"/>
          <w:szCs w:val="28"/>
        </w:rPr>
        <w:t>).</w:t>
      </w:r>
    </w:p>
    <w:p w14:paraId="4B11874C">
      <w:pPr>
        <w:pStyle w:val="28"/>
        <w:shd w:val="clear" w:color="auto" w:fill="auto"/>
        <w:tabs>
          <w:tab w:val="left" w:pos="142"/>
          <w:tab w:val="left" w:pos="567"/>
          <w:tab w:val="left" w:pos="1134"/>
        </w:tabs>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В случае продажи мелкого имущества (предметы обычной домашней обстановки, обихода и т.д.) рекомендуется указывать совокупный доход от его реализации.</w:t>
      </w:r>
    </w:p>
    <w:p w14:paraId="7A805362">
      <w:pPr>
        <w:pStyle w:val="28"/>
        <w:shd w:val="clear" w:color="auto" w:fill="auto"/>
        <w:tabs>
          <w:tab w:val="left" w:pos="142"/>
          <w:tab w:val="left" w:pos="567"/>
          <w:tab w:val="left" w:pos="1134"/>
        </w:tabs>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В ситуации продажи имущества, находящегося в долевой собственности, доход указывается в соответствии с договором купли-продажи. Если в рассматриваемом договоре в качестве "продавца" указано два (или более) лица без разделения причитающихся им сумм, то отражаются денежные средства с учетом принадлежащих данным лицам долей (несмотря на порядок перечисления денежных средств покупателем продавцу).</w:t>
      </w:r>
    </w:p>
    <w:p w14:paraId="280BE292">
      <w:pPr>
        <w:pStyle w:val="28"/>
        <w:shd w:val="clear" w:color="auto" w:fill="auto"/>
        <w:tabs>
          <w:tab w:val="left" w:pos="142"/>
          <w:tab w:val="left" w:pos="567"/>
          <w:tab w:val="left" w:pos="1134"/>
        </w:tabs>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Аналогично в отношении продажи имущества, находящегося в совместной собственности;</w:t>
      </w:r>
    </w:p>
    <w:p w14:paraId="6AFFBA34">
      <w:pPr>
        <w:pStyle w:val="28"/>
        <w:numPr>
          <w:ilvl w:val="0"/>
          <w:numId w:val="5"/>
        </w:numPr>
        <w:shd w:val="clear" w:color="auto" w:fill="auto"/>
        <w:tabs>
          <w:tab w:val="left" w:pos="142"/>
          <w:tab w:val="left" w:pos="567"/>
          <w:tab w:val="left" w:pos="1134"/>
        </w:tabs>
        <w:spacing w:after="0" w:line="240" w:lineRule="auto"/>
        <w:ind w:left="0" w:firstLine="567"/>
        <w:rPr>
          <w:rStyle w:val="191"/>
          <w:rFonts w:ascii="Times New Roman" w:hAnsi="Times New Roman" w:cs="Times New Roman"/>
          <w:sz w:val="28"/>
          <w:szCs w:val="28"/>
        </w:rPr>
      </w:pPr>
      <w:r>
        <w:rPr>
          <w:rStyle w:val="191"/>
          <w:rFonts w:ascii="Times New Roman" w:hAnsi="Times New Roman" w:cs="Times New Roman"/>
          <w:sz w:val="28"/>
          <w:szCs w:val="28"/>
          <w:shd w:val="clear" w:color="auto" w:fill="auto"/>
        </w:rPr>
        <w:t>доходы от продажи цифрового финансового актива, иных цифровых прав и цифровой валюты (дополнительно указываются дата отчуждения, сведения об операторе информационной системы (инвестиционной платформы) и вид цифровой валюты);</w:t>
      </w:r>
    </w:p>
    <w:p w14:paraId="6F973B73">
      <w:pPr>
        <w:pStyle w:val="28"/>
        <w:numPr>
          <w:ilvl w:val="0"/>
          <w:numId w:val="5"/>
        </w:numPr>
        <w:shd w:val="clear" w:color="auto" w:fill="auto"/>
        <w:tabs>
          <w:tab w:val="left" w:pos="142"/>
          <w:tab w:val="left" w:pos="567"/>
          <w:tab w:val="left" w:pos="1134"/>
        </w:tabs>
        <w:spacing w:after="0" w:line="240" w:lineRule="auto"/>
        <w:ind w:left="0" w:firstLine="567"/>
        <w:rPr>
          <w:rStyle w:val="203"/>
          <w:rFonts w:ascii="Times New Roman" w:hAnsi="Times New Roman"/>
          <w:sz w:val="28"/>
          <w:szCs w:val="28"/>
          <w:shd w:val="clear" w:color="auto" w:fill="FFFFFF"/>
        </w:rPr>
      </w:pPr>
      <w:r>
        <w:rPr>
          <w:rStyle w:val="191"/>
          <w:rFonts w:ascii="Times New Roman" w:hAnsi="Times New Roman" w:cs="Times New Roman"/>
          <w:sz w:val="28"/>
          <w:szCs w:val="28"/>
        </w:rPr>
        <w:t xml:space="preserve">доходы по трудовым договорам по совместительству. </w:t>
      </w:r>
      <w:r>
        <w:rPr>
          <w:rStyle w:val="203"/>
          <w:rFonts w:ascii="Times New Roman" w:hAnsi="Times New Roman"/>
          <w:color w:val="000000"/>
          <w:sz w:val="28"/>
          <w:szCs w:val="28"/>
        </w:rPr>
        <w:t xml:space="preserve">При этом рекомендуется указать наименование и </w:t>
      </w:r>
      <w:r>
        <w:rPr>
          <w:rFonts w:ascii="Times New Roman" w:hAnsi="Times New Roman" w:cs="Times New Roman"/>
          <w:sz w:val="28"/>
          <w:szCs w:val="28"/>
        </w:rPr>
        <w:t xml:space="preserve">адрес места нахождения </w:t>
      </w:r>
      <w:r>
        <w:rPr>
          <w:rStyle w:val="203"/>
          <w:rFonts w:ascii="Times New Roman" w:hAnsi="Times New Roman"/>
          <w:color w:val="000000"/>
          <w:sz w:val="28"/>
          <w:szCs w:val="28"/>
        </w:rPr>
        <w:t xml:space="preserve">организации, от которой был получен доход; </w:t>
      </w:r>
    </w:p>
    <w:p w14:paraId="17D08D9C">
      <w:pPr>
        <w:pStyle w:val="28"/>
        <w:numPr>
          <w:ilvl w:val="0"/>
          <w:numId w:val="5"/>
        </w:numPr>
        <w:shd w:val="clear" w:color="auto" w:fill="auto"/>
        <w:tabs>
          <w:tab w:val="left" w:pos="142"/>
          <w:tab w:val="left" w:pos="567"/>
          <w:tab w:val="left" w:pos="1134"/>
        </w:tabs>
        <w:spacing w:after="0" w:line="240" w:lineRule="auto"/>
        <w:ind w:left="0" w:firstLine="567"/>
        <w:rPr>
          <w:rStyle w:val="203"/>
          <w:rFonts w:ascii="Times New Roman" w:hAnsi="Times New Roman"/>
          <w:sz w:val="28"/>
          <w:szCs w:val="28"/>
          <w:shd w:val="clear" w:color="auto" w:fill="FFFFFF"/>
        </w:rPr>
      </w:pPr>
      <w:r>
        <w:rPr>
          <w:rStyle w:val="191"/>
          <w:rFonts w:ascii="Times New Roman" w:hAnsi="Times New Roman" w:cs="Times New Roman"/>
          <w:sz w:val="28"/>
          <w:szCs w:val="28"/>
        </w:rPr>
        <w:t xml:space="preserve">денежные средства, полученные в виде процентов при погашении сберегательных сертификатов, если они не указаны в строке </w:t>
      </w:r>
      <w:r>
        <w:rPr>
          <w:rStyle w:val="191"/>
          <w:rFonts w:ascii="Times New Roman" w:hAnsi="Times New Roman"/>
          <w:b/>
          <w:sz w:val="28"/>
        </w:rPr>
        <w:t>"Доход от ценных бумаг и долей участия в коммерческих организациях"</w:t>
      </w:r>
      <w:r>
        <w:rPr>
          <w:rStyle w:val="191"/>
          <w:rFonts w:ascii="Times New Roman" w:hAnsi="Times New Roman" w:cs="Times New Roman"/>
          <w:sz w:val="28"/>
          <w:szCs w:val="28"/>
        </w:rPr>
        <w:t>;</w:t>
      </w:r>
    </w:p>
    <w:p w14:paraId="36D563A1">
      <w:pPr>
        <w:pStyle w:val="28"/>
        <w:numPr>
          <w:ilvl w:val="0"/>
          <w:numId w:val="5"/>
        </w:numPr>
        <w:shd w:val="clear" w:color="auto" w:fill="auto"/>
        <w:tabs>
          <w:tab w:val="left" w:pos="142"/>
          <w:tab w:val="left" w:pos="567"/>
          <w:tab w:val="left" w:pos="1134"/>
        </w:tabs>
        <w:spacing w:after="0" w:line="240" w:lineRule="auto"/>
        <w:ind w:left="0" w:firstLine="567"/>
        <w:rPr>
          <w:rStyle w:val="203"/>
          <w:rFonts w:ascii="Times New Roman" w:hAnsi="Times New Roman"/>
          <w:color w:val="000000"/>
          <w:sz w:val="28"/>
          <w:szCs w:val="28"/>
        </w:rPr>
      </w:pPr>
      <w:r>
        <w:rPr>
          <w:rStyle w:val="191"/>
          <w:rFonts w:ascii="Times New Roman" w:hAnsi="Times New Roman" w:cs="Times New Roman"/>
          <w:sz w:val="28"/>
          <w:szCs w:val="28"/>
        </w:rPr>
        <w:t xml:space="preserve">вознаграждения по гражданско-правовым договорам, если данный доход не указан в иных строках настоящего раздела справки. </w:t>
      </w:r>
      <w:r>
        <w:rPr>
          <w:rStyle w:val="203"/>
          <w:rFonts w:ascii="Times New Roman" w:hAnsi="Times New Roman"/>
          <w:color w:val="000000"/>
          <w:sz w:val="28"/>
          <w:szCs w:val="28"/>
        </w:rPr>
        <w:t xml:space="preserve">При этом рекомендуется указать наименование и </w:t>
      </w:r>
      <w:r>
        <w:rPr>
          <w:rFonts w:ascii="Times New Roman" w:hAnsi="Times New Roman" w:cs="Times New Roman"/>
          <w:sz w:val="28"/>
          <w:szCs w:val="28"/>
        </w:rPr>
        <w:t xml:space="preserve">место нахождения </w:t>
      </w:r>
      <w:r>
        <w:rPr>
          <w:rStyle w:val="203"/>
          <w:rFonts w:ascii="Times New Roman" w:hAnsi="Times New Roman"/>
          <w:color w:val="000000"/>
          <w:sz w:val="28"/>
          <w:szCs w:val="28"/>
        </w:rPr>
        <w:t xml:space="preserve">организации, от которой был получен доход, или </w:t>
      </w:r>
      <w:r>
        <w:rPr>
          <w:rFonts w:ascii="Times New Roman" w:hAnsi="Times New Roman"/>
          <w:sz w:val="28"/>
          <w:szCs w:val="28"/>
        </w:rPr>
        <w:t>фамилию, имя и отчество соответствующего лица</w:t>
      </w:r>
      <w:r>
        <w:rPr>
          <w:rStyle w:val="203"/>
          <w:rFonts w:ascii="Times New Roman" w:hAnsi="Times New Roman"/>
          <w:color w:val="000000"/>
          <w:sz w:val="28"/>
          <w:szCs w:val="28"/>
        </w:rPr>
        <w:t xml:space="preserve">; </w:t>
      </w:r>
    </w:p>
    <w:p w14:paraId="335BD5AE">
      <w:pPr>
        <w:pStyle w:val="28"/>
        <w:numPr>
          <w:ilvl w:val="0"/>
          <w:numId w:val="5"/>
        </w:numPr>
        <w:shd w:val="clear" w:color="auto" w:fill="auto"/>
        <w:tabs>
          <w:tab w:val="left" w:pos="142"/>
          <w:tab w:val="left" w:pos="567"/>
          <w:tab w:val="left" w:pos="1134"/>
        </w:tabs>
        <w:spacing w:after="0" w:line="240" w:lineRule="auto"/>
        <w:ind w:left="0" w:firstLine="567"/>
        <w:rPr>
          <w:rFonts w:ascii="Times New Roman" w:hAnsi="Times New Roman" w:cs="Times New Roman"/>
          <w:color w:val="000000"/>
          <w:sz w:val="28"/>
          <w:szCs w:val="28"/>
          <w:shd w:val="clear" w:color="auto" w:fill="FFFFFF"/>
        </w:rPr>
      </w:pPr>
      <w:r>
        <w:rPr>
          <w:rFonts w:ascii="Times New Roman" w:hAnsi="Times New Roman" w:eastAsia="Times New Roman" w:cs="Times New Roman"/>
          <w:sz w:val="28"/>
          <w:szCs w:val="28"/>
          <w:lang w:eastAsia="ru-RU"/>
        </w:rPr>
        <w:t xml:space="preserve">доходы, полученные от использования трубопроводов, линий электропередачи (ЛЭП), линий оптико-волоконной и (или) беспроводной связи, иных средств связи, включая компьютерные сети (в случае наличия дохода от использования указанных объектов, соответствующие объекты необходимо указать в строке </w:t>
      </w:r>
      <w:r>
        <w:rPr>
          <w:rFonts w:ascii="Times New Roman" w:hAnsi="Times New Roman"/>
          <w:b/>
          <w:sz w:val="28"/>
        </w:rPr>
        <w:t>"Иное недвижимое имущество"</w:t>
      </w:r>
      <w:r>
        <w:rPr>
          <w:rFonts w:ascii="Times New Roman" w:hAnsi="Times New Roman" w:eastAsia="Times New Roman" w:cs="Times New Roman"/>
          <w:sz w:val="28"/>
          <w:szCs w:val="28"/>
          <w:lang w:eastAsia="ru-RU"/>
        </w:rPr>
        <w:t xml:space="preserve"> подраздела 3.1 раздела 3 справки);</w:t>
      </w:r>
    </w:p>
    <w:p w14:paraId="652144E8">
      <w:pPr>
        <w:pStyle w:val="28"/>
        <w:numPr>
          <w:ilvl w:val="0"/>
          <w:numId w:val="5"/>
        </w:numPr>
        <w:shd w:val="clear" w:color="auto" w:fill="auto"/>
        <w:tabs>
          <w:tab w:val="left" w:pos="142"/>
          <w:tab w:val="left" w:pos="567"/>
          <w:tab w:val="left" w:pos="1134"/>
        </w:tabs>
        <w:spacing w:after="0" w:line="240" w:lineRule="auto"/>
        <w:ind w:left="0" w:firstLine="567"/>
        <w:rPr>
          <w:rStyle w:val="191"/>
          <w:rFonts w:ascii="Times New Roman" w:hAnsi="Times New Roman" w:cs="Times New Roman"/>
          <w:color w:val="000000"/>
          <w:sz w:val="28"/>
          <w:szCs w:val="28"/>
        </w:rPr>
      </w:pPr>
      <w:r>
        <w:rPr>
          <w:rFonts w:ascii="Times New Roman" w:hAnsi="Times New Roman" w:eastAsia="Times New Roman" w:cs="Times New Roman"/>
          <w:sz w:val="28"/>
          <w:szCs w:val="28"/>
          <w:lang w:eastAsia="ru-RU"/>
        </w:rPr>
        <w:t>проценты по долговым обязательствам;</w:t>
      </w:r>
    </w:p>
    <w:p w14:paraId="485D6A2C">
      <w:pPr>
        <w:pStyle w:val="28"/>
        <w:numPr>
          <w:ilvl w:val="0"/>
          <w:numId w:val="5"/>
        </w:numPr>
        <w:shd w:val="clear" w:color="auto" w:fill="auto"/>
        <w:tabs>
          <w:tab w:val="left" w:pos="142"/>
          <w:tab w:val="left" w:pos="567"/>
          <w:tab w:val="left" w:pos="1134"/>
        </w:tabs>
        <w:spacing w:after="0" w:line="240" w:lineRule="auto"/>
        <w:ind w:left="0" w:firstLine="567"/>
        <w:rPr>
          <w:rFonts w:ascii="Times New Roman" w:hAnsi="Times New Roman" w:cs="Times New Roman"/>
          <w:sz w:val="28"/>
          <w:szCs w:val="28"/>
        </w:rPr>
      </w:pPr>
      <w:r>
        <w:rPr>
          <w:rFonts w:ascii="Times New Roman" w:hAnsi="Times New Roman" w:cs="Times New Roman"/>
          <w:sz w:val="28"/>
          <w:szCs w:val="28"/>
        </w:rPr>
        <w:t>денежные средства, полученные в порядке дарения или наследования. При этом рекомендуется указать</w:t>
      </w:r>
      <w:r>
        <w:rPr>
          <w:rStyle w:val="203"/>
          <w:rFonts w:ascii="Times New Roman" w:hAnsi="Times New Roman"/>
          <w:color w:val="000000"/>
          <w:sz w:val="28"/>
          <w:szCs w:val="28"/>
        </w:rPr>
        <w:t xml:space="preserve"> </w:t>
      </w:r>
      <w:r>
        <w:rPr>
          <w:rFonts w:ascii="Times New Roman" w:hAnsi="Times New Roman"/>
          <w:sz w:val="28"/>
          <w:szCs w:val="28"/>
        </w:rPr>
        <w:t>фамилию, имя и отчество соответствующего дарителя или наследодателя соответственно</w:t>
      </w:r>
      <w:r>
        <w:rPr>
          <w:rFonts w:ascii="Times New Roman" w:hAnsi="Times New Roman" w:cs="Times New Roman"/>
          <w:sz w:val="28"/>
          <w:szCs w:val="28"/>
        </w:rPr>
        <w:t>;</w:t>
      </w:r>
    </w:p>
    <w:p w14:paraId="42BEF76C">
      <w:pPr>
        <w:pStyle w:val="194"/>
        <w:numPr>
          <w:ilvl w:val="0"/>
          <w:numId w:val="5"/>
        </w:numPr>
        <w:tabs>
          <w:tab w:val="left" w:pos="142"/>
          <w:tab w:val="left" w:pos="567"/>
          <w:tab w:val="left" w:pos="1134"/>
          <w:tab w:val="left" w:pos="1560"/>
        </w:tabs>
        <w:ind w:left="0" w:firstLine="567"/>
        <w:rPr>
          <w:sz w:val="28"/>
          <w:szCs w:val="28"/>
        </w:rPr>
      </w:pPr>
      <w:r>
        <w:rPr>
          <w:sz w:val="28"/>
          <w:szCs w:val="28"/>
        </w:rPr>
        <w:t xml:space="preserve">возмещение вреда, причиненного увечьем или иным повреждением здоровья; </w:t>
      </w:r>
    </w:p>
    <w:p w14:paraId="3326B11E">
      <w:pPr>
        <w:pStyle w:val="194"/>
        <w:numPr>
          <w:ilvl w:val="0"/>
          <w:numId w:val="5"/>
        </w:numPr>
        <w:tabs>
          <w:tab w:val="left" w:pos="142"/>
          <w:tab w:val="left" w:pos="567"/>
          <w:tab w:val="left" w:pos="1134"/>
          <w:tab w:val="left" w:pos="1560"/>
        </w:tabs>
        <w:ind w:left="0" w:firstLine="567"/>
        <w:rPr>
          <w:sz w:val="28"/>
          <w:szCs w:val="28"/>
        </w:rPr>
      </w:pPr>
      <w:r>
        <w:rPr>
          <w:sz w:val="28"/>
          <w:szCs w:val="28"/>
        </w:rPr>
        <w:t xml:space="preserve">выплаты, связанные с гибелью (смертью), выплаченные наследникам; </w:t>
      </w:r>
    </w:p>
    <w:p w14:paraId="6E659F4B">
      <w:pPr>
        <w:pStyle w:val="193"/>
        <w:numPr>
          <w:ilvl w:val="0"/>
          <w:numId w:val="5"/>
        </w:numPr>
        <w:tabs>
          <w:tab w:val="left" w:pos="142"/>
          <w:tab w:val="left" w:pos="567"/>
          <w:tab w:val="left" w:pos="1134"/>
          <w:tab w:val="left" w:pos="1560"/>
        </w:tabs>
        <w:ind w:left="0" w:firstLine="567"/>
        <w:rPr>
          <w:rFonts w:ascii="Times New Roman" w:hAnsi="Times New Roman"/>
          <w:sz w:val="28"/>
          <w:szCs w:val="28"/>
        </w:rPr>
      </w:pPr>
      <w:r>
        <w:rPr>
          <w:rFonts w:ascii="Times New Roman" w:hAnsi="Times New Roman"/>
          <w:sz w:val="28"/>
          <w:szCs w:val="28"/>
        </w:rPr>
        <w:t xml:space="preserve">выплаты денежных сумм, осуществленные на основании договоров страхования. При этом в отношении договоров страхования, </w:t>
      </w:r>
      <w:r>
        <w:rPr>
          <w:rFonts w:ascii="Times New Roman" w:hAnsi="Times New Roman"/>
          <w:sz w:val="28"/>
        </w:rPr>
        <w:t xml:space="preserve">поименованных в </w:t>
      </w:r>
      <w:r>
        <w:fldChar w:fldCharType="begin"/>
      </w:r>
      <w:r>
        <w:instrText xml:space="preserve"> HYPERLINK \l "Обязательства" </w:instrText>
      </w:r>
      <w:r>
        <w:fldChar w:fldCharType="separate"/>
      </w:r>
      <w:r>
        <w:rPr>
          <w:rStyle w:val="17"/>
          <w:rFonts w:ascii="Times New Roman" w:hAnsi="Times New Roman"/>
          <w:sz w:val="28"/>
        </w:rPr>
        <w:t xml:space="preserve">подпункте 3 пункта </w:t>
      </w:r>
      <w:r>
        <w:rPr>
          <w:rStyle w:val="17"/>
          <w:rFonts w:ascii="Times New Roman" w:hAnsi="Times New Roman"/>
          <w:sz w:val="28"/>
          <w:szCs w:val="28"/>
        </w:rPr>
        <w:t>217</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sz w:val="28"/>
          <w:szCs w:val="28"/>
        </w:rPr>
        <w:t>, доходом является положительный результат (разница между выплаченными в результате прекращения таких договоров страхования денежными суммами (в том числе денежными компенсациями, предусмотренными договорами долевого страхования жизни) и уплаченными страховыми премиями (взносами) (в отношении каждого договора отдельно));</w:t>
      </w:r>
    </w:p>
    <w:p w14:paraId="4B9CE074">
      <w:pPr>
        <w:pStyle w:val="194"/>
        <w:numPr>
          <w:ilvl w:val="0"/>
          <w:numId w:val="5"/>
        </w:numPr>
        <w:tabs>
          <w:tab w:val="left" w:pos="142"/>
          <w:tab w:val="left" w:pos="567"/>
          <w:tab w:val="left" w:pos="1134"/>
          <w:tab w:val="left" w:pos="1560"/>
        </w:tabs>
        <w:ind w:left="0" w:firstLine="567"/>
        <w:rPr>
          <w:color w:val="auto"/>
          <w:sz w:val="28"/>
          <w:szCs w:val="28"/>
        </w:rPr>
      </w:pPr>
      <w:r>
        <w:rPr>
          <w:color w:val="auto"/>
          <w:sz w:val="28"/>
          <w:szCs w:val="28"/>
        </w:rPr>
        <w:t xml:space="preserve">выплаты, связанные с увольнением (компенсация за неиспользованный отпуск, суммы выплат средних месячных заработков, выходное пособие, выплаты по линии Фонда пенсионного и социального страхования Российской Федерации и т.д.), в случае если данные выплаты не были включены в Справку </w:t>
      </w:r>
      <w:r>
        <w:rPr>
          <w:sz w:val="28"/>
          <w:szCs w:val="28"/>
        </w:rPr>
        <w:t>о доходах и суммах налога физического лица</w:t>
      </w:r>
      <w:r>
        <w:rPr>
          <w:sz w:val="28"/>
        </w:rPr>
        <w:t xml:space="preserve"> </w:t>
      </w:r>
      <w:r>
        <w:rPr>
          <w:color w:val="auto"/>
          <w:sz w:val="28"/>
          <w:szCs w:val="28"/>
        </w:rPr>
        <w:t xml:space="preserve">по месту службы (работы) и не отражены в строке </w:t>
      </w:r>
      <w:r>
        <w:rPr>
          <w:b/>
          <w:color w:val="auto"/>
          <w:sz w:val="28"/>
        </w:rPr>
        <w:t>"Доход по основному месту работы"</w:t>
      </w:r>
      <w:r>
        <w:rPr>
          <w:color w:val="auto"/>
          <w:sz w:val="28"/>
          <w:szCs w:val="28"/>
        </w:rPr>
        <w:t xml:space="preserve">; </w:t>
      </w:r>
    </w:p>
    <w:p w14:paraId="5C5BA4AC">
      <w:pPr>
        <w:pStyle w:val="193"/>
        <w:numPr>
          <w:ilvl w:val="0"/>
          <w:numId w:val="5"/>
        </w:numPr>
        <w:tabs>
          <w:tab w:val="left" w:pos="142"/>
          <w:tab w:val="left" w:pos="567"/>
          <w:tab w:val="left" w:pos="1134"/>
        </w:tabs>
        <w:ind w:left="0" w:firstLine="567"/>
        <w:rPr>
          <w:rFonts w:ascii="Times New Roman" w:hAnsi="Times New Roman" w:eastAsia="Times New Roman"/>
          <w:sz w:val="28"/>
          <w:szCs w:val="28"/>
        </w:rPr>
      </w:pPr>
      <w:r>
        <w:rPr>
          <w:rFonts w:ascii="Times New Roman" w:hAnsi="Times New Roman" w:eastAsia="Times New Roman"/>
          <w:sz w:val="28"/>
          <w:szCs w:val="28"/>
          <w:lang w:eastAsia="ru-RU"/>
        </w:rPr>
        <w:t>денежные средства, полученные в качестве благотворительной помощи для покупки лекарств, оплаты медицинских услуг и для иных целей. Если для их получения открывался счет на имя служащего (работника), его супруги (супруга) или несовершеннолетнего ребенка, то сведения о счете необходимо также отразить в разделе 4 справки;</w:t>
      </w:r>
    </w:p>
    <w:p w14:paraId="42C92EDB">
      <w:pPr>
        <w:pStyle w:val="194"/>
        <w:numPr>
          <w:ilvl w:val="0"/>
          <w:numId w:val="5"/>
        </w:numPr>
        <w:tabs>
          <w:tab w:val="left" w:pos="142"/>
          <w:tab w:val="left" w:pos="567"/>
          <w:tab w:val="left" w:pos="1134"/>
        </w:tabs>
        <w:ind w:left="0" w:firstLine="567"/>
        <w:rPr>
          <w:sz w:val="28"/>
          <w:szCs w:val="28"/>
        </w:rPr>
      </w:pPr>
      <w:r>
        <w:rPr>
          <w:sz w:val="28"/>
          <w:szCs w:val="28"/>
        </w:rPr>
        <w:t xml:space="preserve">суммы полной или частичной компенсации работникам и (или) членам их семей, бывшим работникам, уволившимся в связи с выходом на пенсию по инвалидности или по старости, инвалидам стоимости приобретаемых путевок, а также суммы полной или частичной компенсации путевок на детей, не достигших совершеннолетнего возраста, в случае выдачи наличных денежных средств (зачисления на банковский счет денежных средств) вместо представляемых путевок без последующего представления отчета об их использовании и др.; </w:t>
      </w:r>
    </w:p>
    <w:p w14:paraId="3B174F44">
      <w:pPr>
        <w:pStyle w:val="194"/>
        <w:numPr>
          <w:ilvl w:val="0"/>
          <w:numId w:val="5"/>
        </w:numPr>
        <w:tabs>
          <w:tab w:val="left" w:pos="142"/>
          <w:tab w:val="left" w:pos="567"/>
          <w:tab w:val="left" w:pos="1134"/>
        </w:tabs>
        <w:ind w:left="0" w:firstLine="567"/>
        <w:rPr>
          <w:sz w:val="28"/>
          <w:szCs w:val="28"/>
        </w:rPr>
      </w:pPr>
      <w:r>
        <w:rPr>
          <w:sz w:val="28"/>
          <w:szCs w:val="28"/>
        </w:rPr>
        <w:t>суммы полной или частичной компенсации служащим (работникам) и (или) членам их семей товара, работы и (или) услуги в виде выдачи наличных денежных средств (зачисления на банковский счет денежных средств) вместо предоставления соответствующих товаров, работ и (или) услуг без последующего представления отчета о целевом использовании компенсации;</w:t>
      </w:r>
    </w:p>
    <w:p w14:paraId="0848B707">
      <w:pPr>
        <w:pStyle w:val="193"/>
        <w:numPr>
          <w:ilvl w:val="0"/>
          <w:numId w:val="5"/>
        </w:numPr>
        <w:tabs>
          <w:tab w:val="left" w:pos="567"/>
          <w:tab w:val="left" w:pos="1134"/>
          <w:tab w:val="left" w:pos="1276"/>
        </w:tabs>
        <w:ind w:left="0" w:firstLine="567"/>
        <w:rPr>
          <w:rFonts w:ascii="Times New Roman" w:hAnsi="Times New Roman"/>
          <w:sz w:val="28"/>
          <w:szCs w:val="28"/>
        </w:rPr>
      </w:pPr>
      <w:r>
        <w:rPr>
          <w:rFonts w:ascii="Times New Roman" w:hAnsi="Times New Roman"/>
          <w:sz w:val="28"/>
          <w:szCs w:val="28"/>
          <w:lang w:eastAsia="ru-RU"/>
        </w:rPr>
        <w:t xml:space="preserve">меры государственной поддержки семей, имеющих детей, в целях создания условий для погашения обязательств по ипотечным жилищным кредитам (займам); </w:t>
      </w:r>
    </w:p>
    <w:p w14:paraId="68A23A6B">
      <w:pPr>
        <w:pStyle w:val="193"/>
        <w:numPr>
          <w:ilvl w:val="0"/>
          <w:numId w:val="5"/>
        </w:numPr>
        <w:tabs>
          <w:tab w:val="left" w:pos="567"/>
          <w:tab w:val="left" w:pos="1134"/>
          <w:tab w:val="left" w:pos="1276"/>
        </w:tabs>
        <w:ind w:left="0" w:firstLine="567"/>
        <w:rPr>
          <w:rFonts w:ascii="Times New Roman" w:hAnsi="Times New Roman"/>
          <w:sz w:val="28"/>
          <w:szCs w:val="28"/>
        </w:rPr>
      </w:pPr>
      <w:r>
        <w:rPr>
          <w:rFonts w:ascii="Times New Roman" w:hAnsi="Times New Roman"/>
          <w:sz w:val="28"/>
          <w:szCs w:val="28"/>
        </w:rPr>
        <w:t>компенсационные выплаты служащему (работнику), его супруге (супругу) (например, неработающему трудоспособному лицу, осуществляющему уход за инвалидом, за престарелым, и др.);</w:t>
      </w:r>
    </w:p>
    <w:p w14:paraId="32A80186">
      <w:pPr>
        <w:pStyle w:val="28"/>
        <w:numPr>
          <w:ilvl w:val="0"/>
          <w:numId w:val="5"/>
        </w:numPr>
        <w:shd w:val="clear" w:color="auto" w:fill="auto"/>
        <w:tabs>
          <w:tab w:val="left" w:pos="142"/>
          <w:tab w:val="left" w:pos="567"/>
          <w:tab w:val="left" w:pos="1134"/>
          <w:tab w:val="left" w:pos="1276"/>
        </w:tabs>
        <w:spacing w:after="0" w:line="240" w:lineRule="auto"/>
        <w:ind w:left="0" w:firstLine="567"/>
        <w:rPr>
          <w:rStyle w:val="191"/>
          <w:rFonts w:ascii="Times New Roman" w:hAnsi="Times New Roman" w:cs="Times New Roman"/>
          <w:color w:val="000000"/>
          <w:sz w:val="28"/>
          <w:szCs w:val="28"/>
        </w:rPr>
      </w:pPr>
      <w:r>
        <w:rPr>
          <w:rStyle w:val="191"/>
          <w:rFonts w:ascii="Times New Roman" w:hAnsi="Times New Roman" w:cs="Times New Roman"/>
          <w:color w:val="000000"/>
          <w:sz w:val="28"/>
          <w:szCs w:val="28"/>
        </w:rPr>
        <w:t>выигрыши в лотереях, букмекерских конторах, тотализаторах, конкурсах и иных играх (при этом расходы, например, ставка, не учитываются и не подлежат вычитанию из сумм выигрышей);</w:t>
      </w:r>
    </w:p>
    <w:p w14:paraId="724F45AC">
      <w:pPr>
        <w:pStyle w:val="28"/>
        <w:numPr>
          <w:ilvl w:val="0"/>
          <w:numId w:val="5"/>
        </w:numPr>
        <w:shd w:val="clear" w:color="auto" w:fill="auto"/>
        <w:tabs>
          <w:tab w:val="left" w:pos="567"/>
          <w:tab w:val="left" w:pos="851"/>
          <w:tab w:val="left" w:pos="1134"/>
        </w:tabs>
        <w:spacing w:after="0" w:line="240" w:lineRule="auto"/>
        <w:ind w:left="0" w:firstLine="567"/>
        <w:rPr>
          <w:rFonts w:ascii="Times New Roman" w:hAnsi="Times New Roman" w:cs="Times New Roman"/>
          <w:color w:val="000000"/>
          <w:sz w:val="28"/>
          <w:szCs w:val="28"/>
          <w:shd w:val="clear" w:color="auto" w:fill="FFFFFF"/>
        </w:rPr>
      </w:pPr>
      <w:r>
        <w:rPr>
          <w:rFonts w:ascii="Times New Roman" w:hAnsi="Times New Roman" w:cs="Times New Roman"/>
          <w:sz w:val="28"/>
          <w:szCs w:val="28"/>
        </w:rPr>
        <w:t>выплаты членам профсоюзных организаций, полученные от данных профсоюзных организаций;</w:t>
      </w:r>
    </w:p>
    <w:p w14:paraId="6630C913">
      <w:pPr>
        <w:pStyle w:val="193"/>
        <w:numPr>
          <w:ilvl w:val="0"/>
          <w:numId w:val="5"/>
        </w:numPr>
        <w:tabs>
          <w:tab w:val="left" w:pos="567"/>
          <w:tab w:val="left" w:pos="1134"/>
          <w:tab w:val="left" w:pos="1276"/>
        </w:tabs>
        <w:ind w:left="0" w:firstLine="567"/>
        <w:rPr>
          <w:rFonts w:ascii="Times New Roman" w:hAnsi="Times New Roman"/>
          <w:sz w:val="28"/>
          <w:szCs w:val="28"/>
        </w:rPr>
      </w:pPr>
      <w:r>
        <w:rPr>
          <w:rFonts w:ascii="Times New Roman" w:hAnsi="Times New Roman"/>
          <w:sz w:val="28"/>
          <w:szCs w:val="28"/>
        </w:rPr>
        <w:t xml:space="preserve">доход от реализации имущества, полученный наложенным платежом. В случае если посылкой направлялись результаты педагогической и научной деятельности, доход указывается в строке </w:t>
      </w:r>
      <w:r>
        <w:rPr>
          <w:rFonts w:ascii="Times New Roman" w:hAnsi="Times New Roman"/>
          <w:b/>
          <w:sz w:val="28"/>
        </w:rPr>
        <w:t>"Доход от педагогической и научной деятельности</w:t>
      </w:r>
      <w:r>
        <w:rPr>
          <w:rFonts w:ascii="Times New Roman" w:hAnsi="Times New Roman" w:eastAsia="Times New Roman"/>
          <w:b/>
          <w:sz w:val="28"/>
          <w:szCs w:val="28"/>
          <w:lang w:eastAsia="ru-RU"/>
        </w:rPr>
        <w:t>"</w:t>
      </w:r>
      <w:r>
        <w:rPr>
          <w:rFonts w:ascii="Times New Roman" w:hAnsi="Times New Roman"/>
          <w:sz w:val="28"/>
          <w:szCs w:val="28"/>
        </w:rPr>
        <w:t xml:space="preserve">, результаты иной творческой деятельности – в строке </w:t>
      </w:r>
      <w:r>
        <w:rPr>
          <w:rFonts w:ascii="Times New Roman" w:hAnsi="Times New Roman"/>
          <w:b/>
          <w:sz w:val="28"/>
        </w:rPr>
        <w:t>"Доход от иной творческой деятельности</w:t>
      </w:r>
      <w:r>
        <w:rPr>
          <w:rFonts w:ascii="Times New Roman" w:hAnsi="Times New Roman" w:eastAsia="Times New Roman"/>
          <w:b/>
          <w:sz w:val="28"/>
          <w:szCs w:val="28"/>
          <w:lang w:eastAsia="ru-RU"/>
        </w:rPr>
        <w:t>"</w:t>
      </w:r>
      <w:r>
        <w:rPr>
          <w:rFonts w:ascii="Times New Roman" w:hAnsi="Times New Roman"/>
          <w:sz w:val="28"/>
          <w:szCs w:val="28"/>
        </w:rPr>
        <w:t>;</w:t>
      </w:r>
    </w:p>
    <w:p w14:paraId="789EC5D3">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вознаграждение, полученное при осуществлении опеки или попечительства на возмездной основе;</w:t>
      </w:r>
    </w:p>
    <w:p w14:paraId="7E182D61">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 xml:space="preserve">доход, полученный индивидуальным предпринимателем (указывается согласно бухгалтерской (финансовой) отчетности или в соответствии </w:t>
      </w:r>
      <w:r>
        <w:rPr>
          <w:rFonts w:ascii="Times New Roman" w:hAnsi="Times New Roman"/>
          <w:sz w:val="28"/>
        </w:rPr>
        <w:t xml:space="preserve">с </w:t>
      </w:r>
      <w:r>
        <w:fldChar w:fldCharType="begin"/>
      </w:r>
      <w:r>
        <w:instrText xml:space="preserve"> HYPERLINK \l "ИП" </w:instrText>
      </w:r>
      <w:r>
        <w:fldChar w:fldCharType="separate"/>
      </w:r>
      <w:r>
        <w:rPr>
          <w:rStyle w:val="17"/>
          <w:rFonts w:ascii="Times New Roman" w:hAnsi="Times New Roman"/>
          <w:sz w:val="28"/>
        </w:rPr>
        <w:t xml:space="preserve">пунктом </w:t>
      </w:r>
      <w:r>
        <w:rPr>
          <w:rStyle w:val="17"/>
          <w:rFonts w:ascii="Times New Roman" w:hAnsi="Times New Roman"/>
          <w:sz w:val="28"/>
          <w:szCs w:val="28"/>
        </w:rPr>
        <w:t>62</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sz w:val="28"/>
          <w:szCs w:val="28"/>
        </w:rPr>
        <w:t>);</w:t>
      </w:r>
    </w:p>
    <w:p w14:paraId="0091DAA7">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денежные выплаты, полученные при награждении почетными грамотами и наградами федеральных государственных органов, государственных органов субъектов Российской Федерации, муниципальных образований, органов местного самоуправления, которые не включены в Справку о доходах и суммах налога физического лица, полученную по основному месту службы (работы);</w:t>
      </w:r>
    </w:p>
    <w:p w14:paraId="767DE83F">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денежные средства, полученные в качестве оплаты услуг или товаров, в том числе в качестве авансового платежа;</w:t>
      </w:r>
    </w:p>
    <w:p w14:paraId="57439FD7">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средства, выплаченные за исполнение государственных или общественных обязанностей (например, присяжным заседателям, членам избирательных комиссий и др.);</w:t>
      </w:r>
    </w:p>
    <w:p w14:paraId="5857D026">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денежные средства, полученные от родственников (за исключением супруги (супруга) и несовершеннолетних детей</w:t>
      </w:r>
      <w:r>
        <w:rPr>
          <w:rStyle w:val="191"/>
          <w:rFonts w:ascii="Times New Roman" w:hAnsi="Times New Roman" w:cs="Times New Roman"/>
          <w:color w:val="000000"/>
          <w:sz w:val="28"/>
          <w:szCs w:val="28"/>
        </w:rPr>
        <w:t xml:space="preserve"> кроме случая, </w:t>
      </w:r>
      <w:r>
        <w:rPr>
          <w:rStyle w:val="191"/>
          <w:rFonts w:ascii="Times New Roman" w:hAnsi="Times New Roman"/>
          <w:color w:val="000000"/>
          <w:sz w:val="28"/>
        </w:rPr>
        <w:t xml:space="preserve">предусмотренного </w:t>
      </w:r>
      <w:r>
        <w:fldChar w:fldCharType="begin"/>
      </w:r>
      <w:r>
        <w:instrText xml:space="preserve"> HYPERLINK \l "Причины" </w:instrText>
      </w:r>
      <w:r>
        <w:fldChar w:fldCharType="separate"/>
      </w:r>
      <w:r>
        <w:rPr>
          <w:rStyle w:val="17"/>
          <w:rFonts w:ascii="Times New Roman" w:hAnsi="Times New Roman" w:cs="Calibri"/>
          <w:sz w:val="28"/>
          <w:shd w:val="clear" w:color="auto" w:fill="FFFFFF"/>
        </w:rPr>
        <w:t xml:space="preserve">пунктом 41 </w:t>
      </w:r>
      <w:r>
        <w:rPr>
          <w:rStyle w:val="17"/>
          <w:rFonts w:ascii="Times New Roman" w:hAnsi="Times New Roman"/>
          <w:sz w:val="28"/>
          <w:szCs w:val="28"/>
          <w:shd w:val="clear" w:color="auto" w:fill="FFFFFF"/>
        </w:rPr>
        <w:t xml:space="preserve">настоящих </w:t>
      </w:r>
      <w:r>
        <w:rPr>
          <w:rStyle w:val="17"/>
          <w:rFonts w:ascii="Times New Roman" w:hAnsi="Times New Roman" w:cs="Calibri"/>
          <w:sz w:val="28"/>
          <w:shd w:val="clear" w:color="auto" w:fill="FFFFFF"/>
        </w:rPr>
        <w:t>Методических рекомендаций</w:t>
      </w:r>
      <w:r>
        <w:rPr>
          <w:rStyle w:val="17"/>
          <w:rFonts w:ascii="Times New Roman" w:hAnsi="Times New Roman" w:cs="Calibri"/>
          <w:sz w:val="28"/>
          <w:shd w:val="clear" w:color="auto" w:fill="FFFFFF"/>
        </w:rPr>
        <w:fldChar w:fldCharType="end"/>
      </w:r>
      <w:r>
        <w:rPr>
          <w:rStyle w:val="191"/>
          <w:rFonts w:ascii="Times New Roman" w:hAnsi="Times New Roman" w:cs="Times New Roman"/>
          <w:color w:val="000000"/>
          <w:sz w:val="28"/>
          <w:szCs w:val="28"/>
        </w:rPr>
        <w:t xml:space="preserve"> – при невозможности по объективным причинам представить Сведения на супругу (супруга) и (или) несовершеннолетних детей</w:t>
      </w:r>
      <w:r>
        <w:rPr>
          <w:rFonts w:ascii="Times New Roman" w:hAnsi="Times New Roman"/>
          <w:sz w:val="28"/>
          <w:szCs w:val="28"/>
        </w:rPr>
        <w:t>) и третьих лиц на невозвратной основе;</w:t>
      </w:r>
    </w:p>
    <w:p w14:paraId="3BD921DD">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доход, полученный по договорам переуступки прав требования на строящиеся объекты недвижимости;</w:t>
      </w:r>
    </w:p>
    <w:p w14:paraId="13F4EFE2">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денежные средства, полученные в качестве неустойки за неисполнение или ненадлежащее исполнение обязательства, в частности в случае просрочки исполнения, возмещения вреда, в том числе морального;</w:t>
      </w:r>
    </w:p>
    <w:p w14:paraId="36A3675A">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выплаченная ликвидационная стоимость ценных бумаг при ликвидации коммерческой организации;</w:t>
      </w:r>
    </w:p>
    <w:p w14:paraId="35C0AEA7">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денежные средства, полученные в связи с прощением долга (в том числе частичным) служащему (работнику), его супруге (супругу) или несовершеннолетним детям;</w:t>
      </w:r>
    </w:p>
    <w:p w14:paraId="1975D9CB">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 xml:space="preserve">доход, полученный от операций с производными финансовыми инструментами, который выражается в величине суммы финансового результата, определяемого в порядке и сроки, предусмотренные главой 23 Налогового кодекса Российской Федерации; </w:t>
      </w:r>
    </w:p>
    <w:p w14:paraId="5DF569FE">
      <w:pPr>
        <w:pStyle w:val="193"/>
        <w:numPr>
          <w:ilvl w:val="0"/>
          <w:numId w:val="5"/>
        </w:numPr>
        <w:tabs>
          <w:tab w:val="left" w:pos="567"/>
          <w:tab w:val="left" w:pos="1276"/>
        </w:tabs>
        <w:ind w:left="0" w:firstLine="567"/>
        <w:rPr>
          <w:rFonts w:ascii="Times New Roman" w:hAnsi="Times New Roman"/>
          <w:sz w:val="28"/>
          <w:szCs w:val="28"/>
        </w:rPr>
      </w:pPr>
      <w:r>
        <w:rPr>
          <w:rFonts w:ascii="Times New Roman" w:hAnsi="Times New Roman"/>
          <w:sz w:val="28"/>
          <w:szCs w:val="28"/>
        </w:rPr>
        <w:t>иные аналогичные выплаты.</w:t>
      </w:r>
    </w:p>
    <w:p w14:paraId="18A517B4">
      <w:pPr>
        <w:pStyle w:val="193"/>
        <w:numPr>
          <w:ilvl w:val="0"/>
          <w:numId w:val="1"/>
        </w:numPr>
        <w:tabs>
          <w:tab w:val="left" w:pos="567"/>
        </w:tabs>
        <w:ind w:left="0" w:firstLine="567"/>
        <w:rPr>
          <w:rFonts w:ascii="Times New Roman" w:hAnsi="Times New Roman" w:eastAsia="Times New Roman"/>
          <w:sz w:val="28"/>
          <w:szCs w:val="28"/>
        </w:rPr>
      </w:pPr>
      <w:r>
        <w:rPr>
          <w:rFonts w:ascii="Times New Roman" w:hAnsi="Times New Roman" w:eastAsia="Times New Roman"/>
          <w:sz w:val="28"/>
          <w:szCs w:val="28"/>
          <w:lang w:eastAsia="ru-RU"/>
        </w:rPr>
        <w:t xml:space="preserve">Также в строке </w:t>
      </w:r>
      <w:r>
        <w:rPr>
          <w:rFonts w:ascii="Times New Roman" w:hAnsi="Times New Roman"/>
          <w:b/>
          <w:sz w:val="28"/>
        </w:rPr>
        <w:t>"</w:t>
      </w:r>
      <w:r>
        <w:rPr>
          <w:rStyle w:val="42"/>
        </w:rPr>
        <w:t>Иные доходы</w:t>
      </w:r>
      <w:r>
        <w:rPr>
          <w:rFonts w:ascii="Times New Roman" w:hAnsi="Times New Roman"/>
          <w:b/>
          <w:sz w:val="28"/>
        </w:rPr>
        <w:t xml:space="preserve">" </w:t>
      </w:r>
      <w:r>
        <w:rPr>
          <w:rFonts w:ascii="Times New Roman" w:hAnsi="Times New Roman" w:eastAsia="Times New Roman"/>
          <w:sz w:val="28"/>
          <w:szCs w:val="28"/>
          <w:lang w:eastAsia="ru-RU"/>
        </w:rPr>
        <w:t>подлежат отражению меры поддержки, предусмотренные нормативными правовыми актами Президента Российской Федерации и Правительства Российской Федерации.</w:t>
      </w:r>
    </w:p>
    <w:p w14:paraId="108B1C06">
      <w:pPr>
        <w:tabs>
          <w:tab w:val="left" w:pos="567"/>
        </w:tabs>
        <w:ind w:firstLine="567"/>
        <w:rPr>
          <w:rFonts w:ascii="Times New Roman" w:hAnsi="Times New Roman" w:eastAsia="Times New Roman"/>
          <w:sz w:val="28"/>
          <w:szCs w:val="28"/>
          <w:lang w:eastAsia="ru-RU"/>
        </w:rPr>
      </w:pPr>
      <w:r>
        <w:rPr>
          <w:rFonts w:ascii="Times New Roman" w:hAnsi="Times New Roman" w:eastAsia="Times New Roman"/>
          <w:sz w:val="28"/>
          <w:szCs w:val="28"/>
          <w:lang w:eastAsia="ru-RU"/>
        </w:rPr>
        <w:t>Отражению также подлежат аналогичные меры поддержки, предусмотренные нормативными правовыми актами субъектов Российской Федерации и муниципальными правовыми актами.</w:t>
      </w:r>
    </w:p>
    <w:p w14:paraId="43BEDE88">
      <w:pPr>
        <w:pStyle w:val="193"/>
        <w:numPr>
          <w:ilvl w:val="0"/>
          <w:numId w:val="1"/>
        </w:numPr>
        <w:tabs>
          <w:tab w:val="left" w:pos="567"/>
        </w:tabs>
        <w:ind w:left="0" w:firstLine="567"/>
        <w:rPr>
          <w:rFonts w:ascii="Times New Roman" w:hAnsi="Times New Roman" w:eastAsia="Times New Roman"/>
          <w:sz w:val="28"/>
          <w:szCs w:val="28"/>
        </w:rPr>
      </w:pPr>
      <w:r>
        <w:rPr>
          <w:rFonts w:ascii="Times New Roman" w:hAnsi="Times New Roman" w:eastAsia="Times New Roman"/>
          <w:sz w:val="28"/>
          <w:szCs w:val="28"/>
          <w:lang w:eastAsia="ru-RU"/>
        </w:rPr>
        <w:t xml:space="preserve">Доход, полученный в иностранной валюте, указывается в рублях по курсу Банка России на дату получения дохода </w:t>
      </w:r>
      <w:r>
        <w:rPr>
          <w:rFonts w:ascii="Times New Roman" w:hAnsi="Times New Roman"/>
          <w:sz w:val="28"/>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eastAsia="Times New Roman"/>
          <w:color w:val="auto"/>
          <w:sz w:val="28"/>
          <w:szCs w:val="28"/>
          <w:u w:val="none"/>
          <w:lang w:eastAsia="ru-RU"/>
        </w:rPr>
        <w:t>)</w:t>
      </w:r>
      <w:r>
        <w:rPr>
          <w:rFonts w:ascii="Times New Roman" w:hAnsi="Times New Roman" w:eastAsia="Times New Roman"/>
          <w:sz w:val="28"/>
          <w:szCs w:val="28"/>
          <w:lang w:eastAsia="ru-RU"/>
        </w:rPr>
        <w:t>.</w:t>
      </w:r>
      <w:r>
        <w:rPr>
          <w:rFonts w:ascii="Times New Roman" w:hAnsi="Times New Roman"/>
          <w:sz w:val="28"/>
          <w:szCs w:val="28"/>
        </w:rPr>
        <w:t xml:space="preserve"> </w:t>
      </w:r>
      <w:r>
        <w:rPr>
          <w:rFonts w:ascii="Times New Roman" w:hAnsi="Times New Roman" w:eastAsia="Times New Roman"/>
          <w:sz w:val="28"/>
          <w:szCs w:val="28"/>
          <w:lang w:eastAsia="ru-RU"/>
        </w:rPr>
        <w:t xml:space="preserve">Доход, полученный в цифровой валюте, стоимость которой определяется в иностранной валюте, указывается в рублях путем самостоятельного пересчета стоимости полученной цифровой валюты, выраженной в иностранной валюте, в рубли по курсу Банка России, установленному на дату получения дохода </w:t>
      </w:r>
      <w:r>
        <w:rPr>
          <w:rFonts w:ascii="Times New Roman" w:hAnsi="Times New Roman"/>
          <w:sz w:val="28"/>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eastAsia="Times New Roman"/>
          <w:color w:val="auto"/>
          <w:sz w:val="28"/>
          <w:szCs w:val="28"/>
          <w:u w:val="none"/>
          <w:lang w:eastAsia="ru-RU"/>
        </w:rPr>
        <w:t>)</w:t>
      </w:r>
      <w:r>
        <w:rPr>
          <w:rFonts w:ascii="Times New Roman" w:hAnsi="Times New Roman" w:eastAsia="Times New Roman"/>
          <w:sz w:val="28"/>
          <w:szCs w:val="28"/>
          <w:lang w:eastAsia="ru-RU"/>
        </w:rPr>
        <w:t>.</w:t>
      </w:r>
    </w:p>
    <w:p w14:paraId="128260D4">
      <w:pPr>
        <w:pStyle w:val="193"/>
        <w:numPr>
          <w:ilvl w:val="0"/>
          <w:numId w:val="1"/>
        </w:numPr>
        <w:tabs>
          <w:tab w:val="left" w:pos="567"/>
        </w:tabs>
        <w:ind w:left="0" w:firstLine="567"/>
        <w:rPr>
          <w:rFonts w:ascii="Times New Roman" w:hAnsi="Times New Roman"/>
          <w:sz w:val="28"/>
        </w:rPr>
      </w:pPr>
      <w:r>
        <w:rPr>
          <w:rFonts w:ascii="Times New Roman" w:hAnsi="Times New Roman"/>
          <w:sz w:val="28"/>
        </w:rPr>
        <w:t xml:space="preserve">Формой справки не предусмотрено указание товаров, услуг, полученных в натуральной форме (например, организация и (или) оплата страховщиком восстановительного ремонта поврежденного транспортного средства по договору страхования; получение арендной платы в натуральной форме и проч.). </w:t>
      </w:r>
    </w:p>
    <w:p w14:paraId="7D9FA714">
      <w:pPr>
        <w:pStyle w:val="193"/>
        <w:numPr>
          <w:ilvl w:val="0"/>
          <w:numId w:val="1"/>
        </w:numPr>
        <w:tabs>
          <w:tab w:val="left" w:pos="567"/>
        </w:tabs>
        <w:ind w:left="0" w:firstLine="567"/>
        <w:rPr>
          <w:rFonts w:ascii="Times New Roman" w:hAnsi="Times New Roman"/>
          <w:sz w:val="28"/>
        </w:rPr>
      </w:pPr>
      <w:r>
        <w:rPr>
          <w:rFonts w:ascii="Times New Roman" w:hAnsi="Times New Roman"/>
          <w:sz w:val="28"/>
        </w:rPr>
        <w:t>Исключением является, например, цифровая валюта, полученная в результате осуществления майнинга (законодательством Российской Федерации о налогах и сборах такая цифровая валюта отнесена к доходам, полученным в натуральной форме). Цифровая валюта, полученная в результате майнинга, как и цифровая валюта, полученная по иным основаниям (например, куплена, получена в дар и проч.), при ее наличии в собственности подлежит указанию в подразделе 3.5 раздела 3 справки.</w:t>
      </w:r>
    </w:p>
    <w:p w14:paraId="2234197B">
      <w:pPr>
        <w:pStyle w:val="193"/>
        <w:numPr>
          <w:ilvl w:val="0"/>
          <w:numId w:val="1"/>
        </w:numPr>
        <w:tabs>
          <w:tab w:val="left" w:pos="567"/>
        </w:tabs>
        <w:ind w:left="0" w:firstLine="567"/>
        <w:rPr>
          <w:rFonts w:ascii="Times New Roman" w:hAnsi="Times New Roman"/>
          <w:sz w:val="28"/>
          <w:szCs w:val="28"/>
        </w:rPr>
      </w:pPr>
      <w:r>
        <w:rPr>
          <w:rFonts w:ascii="Times New Roman" w:hAnsi="Times New Roman" w:eastAsia="Times New Roman"/>
          <w:sz w:val="28"/>
          <w:szCs w:val="28"/>
          <w:lang w:eastAsia="ru-RU"/>
        </w:rPr>
        <w:t>С учетом целей антико</w:t>
      </w:r>
      <w:r>
        <w:rPr>
          <w:rFonts w:ascii="Times New Roman" w:hAnsi="Times New Roman" w:eastAsia="Times New Roman"/>
          <w:color w:val="000000"/>
          <w:sz w:val="28"/>
          <w:szCs w:val="28"/>
          <w:lang w:eastAsia="ru-RU"/>
        </w:rPr>
        <w:t>р</w:t>
      </w:r>
      <w:r>
        <w:rPr>
          <w:rFonts w:ascii="Times New Roman" w:hAnsi="Times New Roman" w:eastAsia="Times New Roman"/>
          <w:sz w:val="28"/>
          <w:szCs w:val="28"/>
          <w:lang w:eastAsia="ru-RU"/>
        </w:rPr>
        <w:t xml:space="preserve">рупционного законодательства в строке </w:t>
      </w:r>
      <w:r>
        <w:rPr>
          <w:rFonts w:ascii="Times New Roman" w:hAnsi="Times New Roman"/>
          <w:b/>
          <w:sz w:val="28"/>
        </w:rPr>
        <w:t>"Иные доходы"</w:t>
      </w:r>
      <w:r>
        <w:rPr>
          <w:rFonts w:ascii="Times New Roman" w:hAnsi="Times New Roman" w:eastAsia="Times New Roman"/>
          <w:b/>
          <w:sz w:val="28"/>
          <w:szCs w:val="28"/>
          <w:lang w:eastAsia="ru-RU"/>
        </w:rPr>
        <w:t xml:space="preserve"> не указываются </w:t>
      </w:r>
      <w:r>
        <w:rPr>
          <w:rFonts w:ascii="Times New Roman" w:hAnsi="Times New Roman" w:eastAsia="Times New Roman"/>
          <w:sz w:val="28"/>
          <w:szCs w:val="28"/>
          <w:lang w:eastAsia="ru-RU"/>
        </w:rPr>
        <w:t xml:space="preserve">сведения о денежных средствах, касающихся </w:t>
      </w:r>
      <w:r>
        <w:rPr>
          <w:rFonts w:ascii="Times New Roman" w:hAnsi="Times New Roman"/>
          <w:sz w:val="28"/>
          <w:szCs w:val="28"/>
        </w:rPr>
        <w:t>возмещения расходов, понесенных служащим (работником), его супругой (супругом), несовершеннолетним ребенком, в том числе связанных:</w:t>
      </w:r>
    </w:p>
    <w:p w14:paraId="43C25B33">
      <w:pPr>
        <w:tabs>
          <w:tab w:val="left" w:pos="567"/>
        </w:tabs>
        <w:ind w:firstLine="567"/>
        <w:rPr>
          <w:rFonts w:ascii="Times New Roman" w:hAnsi="Times New Roman"/>
          <w:sz w:val="28"/>
          <w:szCs w:val="28"/>
        </w:rPr>
      </w:pPr>
      <w:r>
        <w:rPr>
          <w:rFonts w:ascii="Times New Roman" w:hAnsi="Times New Roman"/>
          <w:sz w:val="28"/>
          <w:szCs w:val="28"/>
        </w:rPr>
        <w:t>1) со служебными командировками за счет средств работодателя;</w:t>
      </w:r>
    </w:p>
    <w:p w14:paraId="1231935D">
      <w:pPr>
        <w:tabs>
          <w:tab w:val="left" w:pos="567"/>
        </w:tabs>
        <w:ind w:firstLine="567"/>
        <w:rPr>
          <w:rFonts w:ascii="Times New Roman" w:hAnsi="Times New Roman"/>
          <w:sz w:val="28"/>
          <w:szCs w:val="28"/>
        </w:rPr>
      </w:pPr>
      <w:r>
        <w:rPr>
          <w:rFonts w:ascii="Times New Roman" w:hAnsi="Times New Roman"/>
          <w:sz w:val="28"/>
          <w:szCs w:val="28"/>
        </w:rPr>
        <w:t>2) с оплатой проезда и провоза багажа к месту использования отпуска и обратно, в том числе предоставляемой лицам, работающим и проживающим в районах Крайнего Севера и приравненных к ним местностям;</w:t>
      </w:r>
    </w:p>
    <w:p w14:paraId="12EF167A">
      <w:pPr>
        <w:tabs>
          <w:tab w:val="left" w:pos="567"/>
        </w:tabs>
        <w:ind w:firstLine="567"/>
        <w:rPr>
          <w:rFonts w:ascii="Times New Roman" w:hAnsi="Times New Roman"/>
          <w:sz w:val="28"/>
          <w:szCs w:val="28"/>
        </w:rPr>
      </w:pPr>
      <w:r>
        <w:rPr>
          <w:rFonts w:ascii="Times New Roman" w:hAnsi="Times New Roman"/>
          <w:sz w:val="28"/>
          <w:szCs w:val="28"/>
        </w:rPr>
        <w:t>3) с компенсацией расходов, связанных с переездом в другую местность в случае ротации и (или) перевода в другой орган, а также с наймом (поднаймом) жилого помещения служащим (работником), назначенным в порядке ротации в орган, расположенный в другой местности в пределах Российской Федерации;</w:t>
      </w:r>
    </w:p>
    <w:p w14:paraId="793E08EE">
      <w:pPr>
        <w:tabs>
          <w:tab w:val="left" w:pos="567"/>
        </w:tabs>
        <w:ind w:firstLine="567"/>
        <w:rPr>
          <w:rFonts w:ascii="Times New Roman" w:hAnsi="Times New Roman"/>
          <w:sz w:val="28"/>
          <w:szCs w:val="28"/>
        </w:rPr>
      </w:pPr>
      <w:r>
        <w:rPr>
          <w:rFonts w:ascii="Times New Roman" w:hAnsi="Times New Roman"/>
          <w:sz w:val="28"/>
          <w:szCs w:val="28"/>
        </w:rPr>
        <w:t>4) с оплатой стоимости и (или) выдачи полагающегося натурального довольствия, а также выплатой денежных средств взамен этого довольствия (например, взамен форменной одежды);</w:t>
      </w:r>
    </w:p>
    <w:p w14:paraId="5BE97EA8">
      <w:pPr>
        <w:tabs>
          <w:tab w:val="left" w:pos="567"/>
        </w:tabs>
        <w:ind w:firstLine="567"/>
        <w:rPr>
          <w:rFonts w:ascii="Times New Roman" w:hAnsi="Times New Roman"/>
          <w:sz w:val="28"/>
          <w:szCs w:val="28"/>
        </w:rPr>
      </w:pPr>
      <w:r>
        <w:rPr>
          <w:rFonts w:ascii="Times New Roman" w:hAnsi="Times New Roman"/>
          <w:sz w:val="28"/>
          <w:szCs w:val="28"/>
        </w:rPr>
        <w:t>5) с приобретением проездных документов для исполнения служебных (должностных) обязанностей;</w:t>
      </w:r>
    </w:p>
    <w:p w14:paraId="27ACD7F6">
      <w:pPr>
        <w:tabs>
          <w:tab w:val="left" w:pos="567"/>
        </w:tabs>
        <w:ind w:firstLine="567"/>
        <w:rPr>
          <w:rFonts w:ascii="Times New Roman" w:hAnsi="Times New Roman"/>
          <w:sz w:val="28"/>
          <w:szCs w:val="28"/>
        </w:rPr>
      </w:pPr>
      <w:r>
        <w:rPr>
          <w:rFonts w:ascii="Times New Roman" w:hAnsi="Times New Roman"/>
          <w:sz w:val="28"/>
          <w:szCs w:val="28"/>
        </w:rPr>
        <w:t>6) с оплатой коммунальных и иных услуг, наймом жилого помещения;</w:t>
      </w:r>
    </w:p>
    <w:p w14:paraId="2CE5C58B">
      <w:pPr>
        <w:tabs>
          <w:tab w:val="left" w:pos="567"/>
        </w:tabs>
        <w:ind w:firstLine="567"/>
        <w:rPr>
          <w:rFonts w:ascii="Times New Roman" w:hAnsi="Times New Roman"/>
          <w:sz w:val="28"/>
          <w:szCs w:val="28"/>
        </w:rPr>
      </w:pPr>
      <w:r>
        <w:rPr>
          <w:rFonts w:ascii="Times New Roman" w:hAnsi="Times New Roman"/>
          <w:sz w:val="28"/>
          <w:szCs w:val="28"/>
        </w:rPr>
        <w:t>7) с внесением родительской платы за посещение дошкольного образовательного учреждения;</w:t>
      </w:r>
    </w:p>
    <w:p w14:paraId="05D842C9">
      <w:pPr>
        <w:tabs>
          <w:tab w:val="left" w:pos="567"/>
        </w:tabs>
        <w:ind w:firstLine="567"/>
        <w:rPr>
          <w:rFonts w:ascii="Times New Roman" w:hAnsi="Times New Roman"/>
          <w:sz w:val="28"/>
          <w:szCs w:val="28"/>
        </w:rPr>
      </w:pPr>
      <w:r>
        <w:rPr>
          <w:rFonts w:ascii="Times New Roman" w:hAnsi="Times New Roman"/>
          <w:sz w:val="28"/>
          <w:szCs w:val="28"/>
        </w:rPr>
        <w:t>8) с оформлением нотариальной доверенности, почтовыми расходами, расходами на оплату услуг представителя (возмещаются по решению суда).</w:t>
      </w:r>
    </w:p>
    <w:p w14:paraId="5486D1F7">
      <w:pPr>
        <w:pStyle w:val="193"/>
        <w:numPr>
          <w:ilvl w:val="0"/>
          <w:numId w:val="1"/>
        </w:numPr>
        <w:tabs>
          <w:tab w:val="left" w:pos="567"/>
        </w:tabs>
        <w:autoSpaceDE w:val="0"/>
        <w:autoSpaceDN w:val="0"/>
        <w:adjustRightInd w:val="0"/>
        <w:ind w:left="0" w:firstLine="567"/>
        <w:rPr>
          <w:rFonts w:ascii="Times New Roman" w:hAnsi="Times New Roman"/>
          <w:sz w:val="28"/>
          <w:szCs w:val="28"/>
          <w:lang w:eastAsia="ru-RU"/>
        </w:rPr>
      </w:pPr>
      <w:r>
        <w:rPr>
          <w:rFonts w:ascii="Times New Roman" w:hAnsi="Times New Roman"/>
          <w:sz w:val="28"/>
          <w:szCs w:val="28"/>
        </w:rPr>
        <w:t xml:space="preserve">Не указываются денежные средства, полученные в качестве компенсации, возмещения расходов, грантов (за исключением премий или иного денежного вознаграждения) или в иных аналогичных случаях, при условии, если нормативным правовым актом Российской Федерации предусмотрена отчетность, подтверждающая целевое расходование данных денежных средств (например, при предоставлении служащим (работником) документа, подтверждающего фактические расходы, и сумма полагающихся ему денежных средств основана на данных документах и равна данным расходам (или не превышает их); или при наличии после получения денежных средств обязанности в разумные сроки отчитаться об их целевом использовании и при необходимости в случае экономии – вернуть неизрасходованные денежные средства). Так, например, не требуется указывать </w:t>
      </w:r>
      <w:r>
        <w:rPr>
          <w:rFonts w:ascii="Times New Roman" w:hAnsi="Times New Roman"/>
          <w:sz w:val="28"/>
          <w:szCs w:val="28"/>
          <w:lang w:eastAsia="ru-RU"/>
        </w:rPr>
        <w:t>субсидию на приобретение сельскохозяйственной техники в случае, если правилами предоставления данной субсидии предусмотрено последующее предоставление получателем отчетных документов о приобретении такой техники и о подтверждении понесенных расходов.</w:t>
      </w:r>
    </w:p>
    <w:p w14:paraId="5331CC5E">
      <w:pPr>
        <w:pStyle w:val="193"/>
        <w:numPr>
          <w:ilvl w:val="0"/>
          <w:numId w:val="1"/>
        </w:numPr>
        <w:tabs>
          <w:tab w:val="left" w:pos="567"/>
        </w:tabs>
        <w:ind w:left="0" w:firstLine="567"/>
        <w:rPr>
          <w:rFonts w:ascii="Times New Roman" w:hAnsi="Times New Roman"/>
          <w:sz w:val="28"/>
          <w:szCs w:val="28"/>
        </w:rPr>
      </w:pPr>
      <w:r>
        <w:rPr>
          <w:rFonts w:ascii="Times New Roman" w:hAnsi="Times New Roman"/>
          <w:sz w:val="28"/>
          <w:szCs w:val="28"/>
        </w:rPr>
        <w:t>Также не указываются сведения о денежных средствах, полученных:</w:t>
      </w:r>
    </w:p>
    <w:p w14:paraId="387A119C">
      <w:pPr>
        <w:tabs>
          <w:tab w:val="left" w:pos="567"/>
        </w:tabs>
        <w:ind w:firstLine="567"/>
        <w:rPr>
          <w:rFonts w:ascii="Times New Roman" w:hAnsi="Times New Roman"/>
          <w:sz w:val="28"/>
          <w:szCs w:val="28"/>
        </w:rPr>
      </w:pPr>
      <w:r>
        <w:rPr>
          <w:rFonts w:ascii="Times New Roman" w:hAnsi="Times New Roman"/>
          <w:sz w:val="28"/>
          <w:szCs w:val="28"/>
        </w:rPr>
        <w:t>1) в виде социального, имущественного, инвестиционного налогового вычета;</w:t>
      </w:r>
    </w:p>
    <w:p w14:paraId="3E0250E2">
      <w:pPr>
        <w:tabs>
          <w:tab w:val="left" w:pos="567"/>
        </w:tabs>
        <w:ind w:firstLine="567"/>
        <w:rPr>
          <w:rFonts w:ascii="Times New Roman" w:hAnsi="Times New Roman"/>
          <w:sz w:val="28"/>
          <w:szCs w:val="28"/>
        </w:rPr>
      </w:pPr>
      <w:r>
        <w:rPr>
          <w:rFonts w:ascii="Times New Roman" w:hAnsi="Times New Roman"/>
          <w:sz w:val="28"/>
          <w:szCs w:val="28"/>
        </w:rPr>
        <w:t>2) от продажи различного вида подарочных сертификатов (карт), выпущенных предприятиями торговли, салонами красоты и пр.;</w:t>
      </w:r>
    </w:p>
    <w:p w14:paraId="79E5C551">
      <w:pPr>
        <w:tabs>
          <w:tab w:val="left" w:pos="567"/>
        </w:tabs>
        <w:ind w:firstLine="567"/>
        <w:rPr>
          <w:rFonts w:ascii="Times New Roman" w:hAnsi="Times New Roman"/>
          <w:sz w:val="28"/>
          <w:szCs w:val="28"/>
        </w:rPr>
      </w:pPr>
      <w:r>
        <w:rPr>
          <w:rFonts w:ascii="Times New Roman" w:hAnsi="Times New Roman"/>
          <w:sz w:val="28"/>
          <w:szCs w:val="28"/>
        </w:rPr>
        <w:t>3) </w:t>
      </w:r>
      <w:r>
        <w:rPr>
          <w:rFonts w:ascii="Times New Roman" w:hAnsi="Times New Roman"/>
          <w:color w:val="000000"/>
          <w:sz w:val="28"/>
          <w:szCs w:val="28"/>
        </w:rPr>
        <w:t>в качестве бонусных баллов</w:t>
      </w:r>
      <w:r>
        <w:rPr>
          <w:rFonts w:ascii="Times New Roman" w:hAnsi="Times New Roman"/>
          <w:sz w:val="28"/>
          <w:szCs w:val="28"/>
        </w:rPr>
        <w:t xml:space="preserve">, бонусов на накопительных дисконтных картах, начисленных банками и иными организациями за пользование их услугами, в том числе в виде денежных средств </w:t>
      </w:r>
      <w:r>
        <w:rPr>
          <w:rFonts w:ascii="Times New Roman" w:hAnsi="Times New Roman"/>
          <w:color w:val="000000"/>
          <w:sz w:val="28"/>
          <w:szCs w:val="28"/>
        </w:rPr>
        <w:t>(</w:t>
      </w:r>
      <w:r>
        <w:rPr>
          <w:rFonts w:ascii="Times New Roman" w:hAnsi="Times New Roman"/>
          <w:sz w:val="28"/>
          <w:szCs w:val="28"/>
        </w:rPr>
        <w:t xml:space="preserve">"кешбэк сервис"), включая т.н. "туристический кешбэк", "детский кешбэк" и др.; </w:t>
      </w:r>
    </w:p>
    <w:p w14:paraId="7ECF9EBF">
      <w:pPr>
        <w:tabs>
          <w:tab w:val="left" w:pos="567"/>
        </w:tabs>
        <w:ind w:firstLine="567"/>
        <w:rPr>
          <w:rFonts w:ascii="Times New Roman" w:hAnsi="Times New Roman"/>
          <w:sz w:val="28"/>
          <w:szCs w:val="28"/>
        </w:rPr>
      </w:pPr>
      <w:r>
        <w:rPr>
          <w:rFonts w:ascii="Times New Roman" w:hAnsi="Times New Roman"/>
          <w:sz w:val="28"/>
          <w:szCs w:val="28"/>
        </w:rPr>
        <w:t>4) в виде материальной выгоды, предусмотренной статьей 212 Налогового кодекса Российской Федерации. Например, материальная выгода, полученная от экономии на процентах за пользование заемными (кредитными) средствами, полученными от организаций или индивидуальных предпринимателей;</w:t>
      </w:r>
    </w:p>
    <w:p w14:paraId="7E09FBFF">
      <w:pPr>
        <w:tabs>
          <w:tab w:val="left" w:pos="567"/>
        </w:tabs>
        <w:ind w:firstLine="567"/>
        <w:rPr>
          <w:rFonts w:ascii="Times New Roman" w:hAnsi="Times New Roman"/>
          <w:sz w:val="28"/>
          <w:szCs w:val="28"/>
        </w:rPr>
      </w:pPr>
      <w:r>
        <w:rPr>
          <w:rFonts w:ascii="Times New Roman" w:hAnsi="Times New Roman"/>
          <w:sz w:val="28"/>
          <w:szCs w:val="28"/>
        </w:rPr>
        <w:t xml:space="preserve">5) в качестве возврата налога на добавленную стоимость, уплаченного при совершении покупок за границей, по чекам </w:t>
      </w:r>
      <w:r>
        <w:rPr>
          <w:rFonts w:ascii="Times New Roman" w:hAnsi="Times New Roman"/>
          <w:sz w:val="28"/>
          <w:szCs w:val="28"/>
          <w:lang w:val="en-US"/>
        </w:rPr>
        <w:t>Tax</w:t>
      </w:r>
      <w:r>
        <w:rPr>
          <w:rFonts w:ascii="Times New Roman" w:hAnsi="Times New Roman"/>
          <w:sz w:val="28"/>
          <w:szCs w:val="28"/>
        </w:rPr>
        <w:t>-</w:t>
      </w:r>
      <w:r>
        <w:rPr>
          <w:rFonts w:ascii="Times New Roman" w:hAnsi="Times New Roman"/>
          <w:sz w:val="28"/>
          <w:szCs w:val="28"/>
          <w:lang w:val="en-US"/>
        </w:rPr>
        <w:t>free</w:t>
      </w:r>
      <w:r>
        <w:rPr>
          <w:rFonts w:ascii="Times New Roman" w:hAnsi="Times New Roman"/>
          <w:sz w:val="28"/>
          <w:szCs w:val="28"/>
        </w:rPr>
        <w:t>;</w:t>
      </w:r>
    </w:p>
    <w:p w14:paraId="60155428">
      <w:pPr>
        <w:tabs>
          <w:tab w:val="left" w:pos="567"/>
        </w:tabs>
        <w:ind w:firstLine="567"/>
        <w:rPr>
          <w:rFonts w:ascii="Times New Roman" w:hAnsi="Times New Roman"/>
          <w:sz w:val="28"/>
          <w:szCs w:val="28"/>
        </w:rPr>
      </w:pPr>
      <w:r>
        <w:rPr>
          <w:rFonts w:ascii="Times New Roman" w:hAnsi="Times New Roman"/>
          <w:sz w:val="28"/>
          <w:szCs w:val="28"/>
        </w:rPr>
        <w:t>6) в качестве вознаграждения донорам за сданную кровь, ее компонентов (и иную помощь);</w:t>
      </w:r>
    </w:p>
    <w:p w14:paraId="2D4A5960">
      <w:pPr>
        <w:tabs>
          <w:tab w:val="left" w:pos="567"/>
        </w:tabs>
        <w:ind w:firstLine="567"/>
        <w:rPr>
          <w:rFonts w:ascii="Times New Roman" w:hAnsi="Times New Roman"/>
          <w:sz w:val="28"/>
          <w:szCs w:val="28"/>
        </w:rPr>
      </w:pPr>
      <w:r>
        <w:rPr>
          <w:rFonts w:ascii="Times New Roman" w:hAnsi="Times New Roman"/>
          <w:sz w:val="28"/>
          <w:szCs w:val="28"/>
        </w:rPr>
        <w:t>7) в виде кредитов, займов. В случае если сумма кредита, займа равна или превышает 500 000 рублей, то данное срочное обязательство финансового характера подлежит указанию в подразделе 6.2 раздела 6 справки;</w:t>
      </w:r>
    </w:p>
    <w:p w14:paraId="18537F5C">
      <w:pPr>
        <w:tabs>
          <w:tab w:val="left" w:pos="567"/>
        </w:tabs>
        <w:ind w:firstLine="567"/>
        <w:rPr>
          <w:rFonts w:ascii="Times New Roman" w:hAnsi="Times New Roman"/>
          <w:sz w:val="28"/>
          <w:szCs w:val="28"/>
        </w:rPr>
      </w:pPr>
      <w:r>
        <w:rPr>
          <w:rFonts w:ascii="Times New Roman" w:hAnsi="Times New Roman"/>
          <w:sz w:val="28"/>
          <w:szCs w:val="28"/>
        </w:rPr>
        <w:t>8) в качестве возмещения расходов на повышение профессионального уровня за счет средств представителя нанимателя (работодателя);</w:t>
      </w:r>
    </w:p>
    <w:p w14:paraId="5649AAD6">
      <w:pPr>
        <w:tabs>
          <w:tab w:val="left" w:pos="567"/>
        </w:tabs>
        <w:ind w:firstLine="567"/>
        <w:rPr>
          <w:rFonts w:ascii="Times New Roman" w:hAnsi="Times New Roman"/>
          <w:sz w:val="28"/>
          <w:szCs w:val="28"/>
        </w:rPr>
      </w:pPr>
      <w:r>
        <w:rPr>
          <w:rFonts w:ascii="Times New Roman" w:hAnsi="Times New Roman"/>
          <w:sz w:val="28"/>
          <w:szCs w:val="28"/>
        </w:rPr>
        <w:t xml:space="preserve">9) в связи с переводом денежных средств между своими банковскими счетами, а также с зачислением на свой банковский счет средств, ранее снятых с другого счета; </w:t>
      </w:r>
    </w:p>
    <w:p w14:paraId="632BB958">
      <w:pPr>
        <w:tabs>
          <w:tab w:val="left" w:pos="567"/>
        </w:tabs>
        <w:ind w:firstLine="567"/>
        <w:rPr>
          <w:rFonts w:ascii="Times New Roman" w:hAnsi="Times New Roman"/>
          <w:sz w:val="28"/>
          <w:szCs w:val="28"/>
        </w:rPr>
      </w:pPr>
      <w:r>
        <w:rPr>
          <w:rFonts w:ascii="Times New Roman" w:hAnsi="Times New Roman"/>
          <w:sz w:val="28"/>
          <w:szCs w:val="28"/>
        </w:rPr>
        <w:t xml:space="preserve">10) в качестве перевода (между супругами и (или) несовершеннолетними детьми (аналогично в части, касающейся наличных денежных средств), </w:t>
      </w:r>
      <w:r>
        <w:rPr>
          <w:rStyle w:val="191"/>
          <w:rFonts w:ascii="Times New Roman" w:hAnsi="Times New Roman" w:cs="Times New Roman"/>
          <w:color w:val="000000"/>
          <w:sz w:val="28"/>
          <w:szCs w:val="28"/>
        </w:rPr>
        <w:t>кроме случая невозможности по объективным причинам представить Сведения на супругу (супруга) и (или) несовершеннолетних детей)</w:t>
      </w:r>
      <w:r>
        <w:rPr>
          <w:rFonts w:ascii="Times New Roman" w:hAnsi="Times New Roman"/>
          <w:sz w:val="28"/>
          <w:szCs w:val="28"/>
        </w:rPr>
        <w:t>;</w:t>
      </w:r>
    </w:p>
    <w:p w14:paraId="1F724A80">
      <w:pPr>
        <w:tabs>
          <w:tab w:val="left" w:pos="567"/>
        </w:tabs>
        <w:ind w:firstLine="567"/>
        <w:rPr>
          <w:rFonts w:ascii="Times New Roman" w:hAnsi="Times New Roman"/>
          <w:sz w:val="28"/>
          <w:szCs w:val="28"/>
        </w:rPr>
      </w:pPr>
      <w:r>
        <w:rPr>
          <w:rFonts w:ascii="Times New Roman" w:hAnsi="Times New Roman"/>
          <w:sz w:val="28"/>
          <w:szCs w:val="28"/>
        </w:rPr>
        <w:t>11) в связи с возвратом денежных средств по несостоявшемуся договору купли-продажи;</w:t>
      </w:r>
    </w:p>
    <w:p w14:paraId="7EA0C8B1">
      <w:pPr>
        <w:tabs>
          <w:tab w:val="left" w:pos="567"/>
        </w:tabs>
        <w:ind w:firstLine="567"/>
        <w:rPr>
          <w:rFonts w:ascii="Times New Roman" w:hAnsi="Times New Roman"/>
          <w:sz w:val="28"/>
          <w:szCs w:val="28"/>
        </w:rPr>
      </w:pPr>
      <w:r>
        <w:rPr>
          <w:rFonts w:ascii="Times New Roman" w:hAnsi="Times New Roman"/>
          <w:sz w:val="28"/>
          <w:szCs w:val="28"/>
        </w:rPr>
        <w:t>12) в качестве возврата займа, денежных средств за купленные товары, а также в качестве возврата денежных средств за оплаченные за третьих лиц товары, работы и услуги, если факт такой оплаты может быть подтвержден;</w:t>
      </w:r>
    </w:p>
    <w:p w14:paraId="79403757">
      <w:pPr>
        <w:tabs>
          <w:tab w:val="left" w:pos="567"/>
        </w:tabs>
        <w:ind w:firstLine="567"/>
        <w:rPr>
          <w:rFonts w:ascii="Times New Roman" w:hAnsi="Times New Roman"/>
          <w:sz w:val="28"/>
          <w:szCs w:val="28"/>
        </w:rPr>
      </w:pPr>
      <w:r>
        <w:rPr>
          <w:rFonts w:ascii="Times New Roman" w:hAnsi="Times New Roman"/>
          <w:sz w:val="28"/>
          <w:szCs w:val="28"/>
        </w:rPr>
        <w:t>13) в качестве возврата денежных средств в связи с прекращением договора (например, возврат части уплаченной страховой премии в связи с досрочным прекращением договора страхования);</w:t>
      </w:r>
    </w:p>
    <w:p w14:paraId="15C6FDEE">
      <w:pPr>
        <w:tabs>
          <w:tab w:val="left" w:pos="567"/>
        </w:tabs>
        <w:ind w:firstLine="567"/>
        <w:rPr>
          <w:rStyle w:val="191"/>
          <w:rFonts w:ascii="Times New Roman" w:hAnsi="Times New Roman" w:cs="Times New Roman"/>
          <w:color w:val="000000"/>
          <w:sz w:val="28"/>
          <w:szCs w:val="28"/>
        </w:rPr>
      </w:pPr>
      <w:r>
        <w:rPr>
          <w:rFonts w:ascii="Times New Roman" w:hAnsi="Times New Roman"/>
          <w:sz w:val="28"/>
          <w:szCs w:val="28"/>
        </w:rPr>
        <w:t>14) на специальный избирательный счет в соответствии с</w:t>
      </w:r>
      <w:r>
        <w:rPr>
          <w:rStyle w:val="191"/>
          <w:rFonts w:ascii="Times New Roman" w:hAnsi="Times New Roman" w:cs="Times New Roman"/>
          <w:color w:val="000000"/>
          <w:sz w:val="28"/>
          <w:szCs w:val="28"/>
        </w:rPr>
        <w:t xml:space="preserve"> Федеральным законом</w:t>
      </w:r>
      <w:r>
        <w:rPr>
          <w:rFonts w:ascii="Times New Roman" w:hAnsi="Times New Roman"/>
          <w:sz w:val="28"/>
          <w:szCs w:val="28"/>
        </w:rPr>
        <w:t xml:space="preserve"> </w:t>
      </w:r>
      <w:r>
        <w:rPr>
          <w:rStyle w:val="191"/>
          <w:rFonts w:ascii="Times New Roman" w:hAnsi="Times New Roman" w:cs="Times New Roman"/>
          <w:color w:val="000000"/>
          <w:sz w:val="28"/>
          <w:szCs w:val="28"/>
        </w:rPr>
        <w:t>от 12 июня 2002 г. № 67-ФЗ "Об основных гарантиях избирательных прав и права на участие в референдуме граждан Российской Федерации";</w:t>
      </w:r>
    </w:p>
    <w:p w14:paraId="2F980D5A">
      <w:pPr>
        <w:tabs>
          <w:tab w:val="left" w:pos="567"/>
        </w:tabs>
        <w:ind w:firstLine="567"/>
        <w:rPr>
          <w:rStyle w:val="191"/>
          <w:rFonts w:ascii="Times New Roman" w:hAnsi="Times New Roman" w:cs="Times New Roman"/>
          <w:color w:val="000000"/>
          <w:sz w:val="28"/>
          <w:szCs w:val="28"/>
        </w:rPr>
      </w:pPr>
      <w:r>
        <w:rPr>
          <w:rStyle w:val="191"/>
          <w:rFonts w:ascii="Times New Roman" w:hAnsi="Times New Roman" w:cs="Times New Roman"/>
          <w:color w:val="000000"/>
          <w:sz w:val="28"/>
          <w:szCs w:val="28"/>
        </w:rPr>
        <w:t>15) </w:t>
      </w:r>
      <w:bookmarkStart w:id="37" w:name="Продажа"/>
      <w:r>
        <w:rPr>
          <w:rStyle w:val="191"/>
          <w:rFonts w:ascii="Times New Roman" w:hAnsi="Times New Roman" w:cs="Times New Roman"/>
          <w:color w:val="000000"/>
          <w:sz w:val="28"/>
          <w:szCs w:val="28"/>
        </w:rPr>
        <w:t>от продажи иностранной валюты (в том числе в случае наличия сведений о таких денежных средствах в информации, полученной в рамках Указания Банка России № 5798-У).</w:t>
      </w:r>
      <w:bookmarkEnd w:id="37"/>
    </w:p>
    <w:p w14:paraId="7744FC33">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Социальная поддержка молодежи в возрасте от 14 до 22 лет для повышения доступности организаций культуры (т.н. "Пушкинская карта") </w:t>
      </w:r>
      <w:r>
        <w:rPr>
          <w:rFonts w:ascii="Times New Roman" w:hAnsi="Times New Roman" w:eastAsia="Times New Roman"/>
          <w:sz w:val="28"/>
          <w:szCs w:val="28"/>
          <w:lang w:eastAsia="ru-RU"/>
        </w:rPr>
        <w:t xml:space="preserve">не подлежит отражению в разделе 1 справки. </w:t>
      </w:r>
    </w:p>
    <w:p w14:paraId="2C8C2DCF">
      <w:pPr>
        <w:pStyle w:val="193"/>
        <w:ind w:left="0" w:firstLine="567"/>
        <w:rPr>
          <w:rFonts w:ascii="Times New Roman" w:hAnsi="Times New Roman"/>
          <w:sz w:val="28"/>
          <w:szCs w:val="28"/>
        </w:rPr>
      </w:pPr>
      <w:r>
        <w:rPr>
          <w:rFonts w:ascii="Times New Roman" w:hAnsi="Times New Roman"/>
          <w:sz w:val="28"/>
          <w:szCs w:val="28"/>
        </w:rPr>
        <w:t>Аналогичные меры поддержки, предусмотренные нормативными правовыми актами субъектов Российской Федерации или муниципальными правовыми актами, также не подлежат отражению в разделе 1 справки.</w:t>
      </w:r>
    </w:p>
    <w:p w14:paraId="18C62CA7">
      <w:pPr>
        <w:pStyle w:val="193"/>
        <w:numPr>
          <w:ilvl w:val="0"/>
          <w:numId w:val="1"/>
        </w:numPr>
        <w:ind w:left="0" w:firstLine="567"/>
        <w:rPr>
          <w:rFonts w:ascii="Times New Roman" w:hAnsi="Times New Roman"/>
          <w:sz w:val="28"/>
          <w:szCs w:val="28"/>
        </w:rPr>
      </w:pPr>
      <w:r>
        <w:rPr>
          <w:rFonts w:ascii="Times New Roman" w:hAnsi="Times New Roman"/>
          <w:sz w:val="28"/>
          <w:szCs w:val="28"/>
        </w:rPr>
        <w:t>Служащему (работнику) целесообразно заблаговременно осуществлять сбор, систематизацию и хранение документов, подтверждающих факт получения дохода либо его отсутствия.</w:t>
      </w:r>
    </w:p>
    <w:p w14:paraId="786AE8B9">
      <w:pPr>
        <w:pStyle w:val="193"/>
        <w:ind w:left="567" w:firstLine="0"/>
        <w:rPr>
          <w:rFonts w:ascii="Times New Roman" w:hAnsi="Times New Roman"/>
          <w:sz w:val="28"/>
          <w:szCs w:val="28"/>
        </w:rPr>
      </w:pPr>
    </w:p>
    <w:p w14:paraId="287D0F59">
      <w:pPr>
        <w:pStyle w:val="3"/>
        <w:ind w:firstLine="0"/>
        <w:jc w:val="center"/>
        <w:rPr>
          <w:b w:val="0"/>
        </w:rPr>
      </w:pPr>
      <w:bookmarkStart w:id="38" w:name="_Toc225936075"/>
      <w:r>
        <w:t>РАЗДЕЛ 2. СВЕДЕНИЯ О РАСХОДАХ</w:t>
      </w:r>
      <w:bookmarkEnd w:id="38"/>
    </w:p>
    <w:p w14:paraId="60C284F9">
      <w:pPr>
        <w:ind w:firstLine="851"/>
        <w:jc w:val="center"/>
        <w:rPr>
          <w:rFonts w:ascii="Times New Roman" w:hAnsi="Times New Roman"/>
          <w:b/>
          <w:sz w:val="28"/>
          <w:szCs w:val="28"/>
        </w:rPr>
      </w:pPr>
    </w:p>
    <w:p w14:paraId="693DD48D">
      <w:pPr>
        <w:pStyle w:val="4"/>
      </w:pPr>
      <w:bookmarkStart w:id="39" w:name="_Toc225936076"/>
      <w:r>
        <w:rPr>
          <w:rStyle w:val="43"/>
          <w:b/>
        </w:rPr>
        <w:t xml:space="preserve">Основные </w:t>
      </w:r>
      <w:r>
        <w:t>положения</w:t>
      </w:r>
      <w:bookmarkEnd w:id="39"/>
    </w:p>
    <w:p w14:paraId="217434C7">
      <w:pPr>
        <w:pStyle w:val="193"/>
        <w:numPr>
          <w:ilvl w:val="0"/>
          <w:numId w:val="1"/>
        </w:numPr>
        <w:ind w:left="0" w:firstLine="567"/>
        <w:rPr>
          <w:rFonts w:ascii="Times New Roman" w:hAnsi="Times New Roman"/>
          <w:sz w:val="28"/>
          <w:szCs w:val="28"/>
        </w:rPr>
      </w:pPr>
      <w:bookmarkStart w:id="40" w:name="Расходы"/>
      <w:r>
        <w:rPr>
          <w:rFonts w:ascii="Times New Roman" w:hAnsi="Times New Roman"/>
          <w:b/>
          <w:sz w:val="28"/>
          <w:szCs w:val="28"/>
        </w:rPr>
        <w:t xml:space="preserve">Сведения о расходах представляются </w:t>
      </w:r>
      <w:r>
        <w:rPr>
          <w:rFonts w:ascii="Times New Roman" w:hAnsi="Times New Roman"/>
          <w:sz w:val="28"/>
          <w:szCs w:val="28"/>
        </w:rPr>
        <w:t xml:space="preserve">при наличии оснований, предусмотренных Федеральным законом от 3 декабря 2012 г. № 230-ФЗ "О контроле за соответствием расходов лиц, замещающих государственные должности, и иных лиц их доходам", т.е. если в отчетном периоде служащим (работником), его супругой (супругом) и несовершеннолетними детьми совершена сделка или совершены сделки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и сумма такой сделки или общая сумма совершенных сделок превышает общий доход данного лица, его супруги (супруга) и несовершеннолетних детей за три последних года, предшествующих отчетному периоду. При представлении Сведений в 2026 году сообщаются сведения о расходах по сделкам, совершенным в 2025 году. </w:t>
      </w:r>
    </w:p>
    <w:p w14:paraId="0219747D">
      <w:pPr>
        <w:ind w:firstLine="567"/>
        <w:rPr>
          <w:rFonts w:ascii="Times New Roman" w:hAnsi="Times New Roman"/>
          <w:sz w:val="28"/>
          <w:szCs w:val="28"/>
        </w:rPr>
      </w:pPr>
      <w:r>
        <w:rPr>
          <w:rFonts w:ascii="Times New Roman" w:hAnsi="Times New Roman"/>
          <w:sz w:val="28"/>
          <w:szCs w:val="28"/>
        </w:rPr>
        <w:t xml:space="preserve">В случае приобретения служащим (работником) и его супругой (супругом) соответствующего объекта имущества в долевую собственность (не определен единственный покупатель в договоре) сведения о расходах представляются посредством заполнения раздела 2 в справках обоих лиц (аналогично в отношении несовершеннолетних детей). При этом в графе </w:t>
      </w:r>
      <w:r>
        <w:rPr>
          <w:rFonts w:ascii="Times New Roman" w:hAnsi="Times New Roman"/>
          <w:b/>
          <w:sz w:val="28"/>
        </w:rPr>
        <w:t>"Сумма сделки"</w:t>
      </w:r>
      <w:r>
        <w:rPr>
          <w:rFonts w:ascii="Times New Roman" w:hAnsi="Times New Roman"/>
          <w:sz w:val="28"/>
          <w:szCs w:val="28"/>
        </w:rPr>
        <w:t xml:space="preserve"> применимых справок рекомендуется указывать полную стоимость. </w:t>
      </w:r>
    </w:p>
    <w:bookmarkEnd w:id="40"/>
    <w:p w14:paraId="16E1102A">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Применимо к гражданину, зарегистрированному в качестве индивидуального предпринимателя и в отношении которого представляется справка, по сделке (сделкам), совершенным таким гражданином в рамках предпринимательской деятельности, при наличии обстоятельств, перечисленных </w:t>
      </w:r>
      <w:r>
        <w:rPr>
          <w:rFonts w:ascii="Times New Roman" w:hAnsi="Times New Roman"/>
          <w:sz w:val="28"/>
        </w:rPr>
        <w:t xml:space="preserve">в </w:t>
      </w:r>
      <w:r>
        <w:fldChar w:fldCharType="begin"/>
      </w:r>
      <w:r>
        <w:instrText xml:space="preserve"> HYPERLINK \l "Расходы" </w:instrText>
      </w:r>
      <w:r>
        <w:fldChar w:fldCharType="separate"/>
      </w:r>
      <w:r>
        <w:rPr>
          <w:rStyle w:val="17"/>
          <w:rFonts w:ascii="Times New Roman" w:hAnsi="Times New Roman"/>
          <w:sz w:val="28"/>
        </w:rPr>
        <w:t xml:space="preserve">пункте </w:t>
      </w:r>
      <w:r>
        <w:rPr>
          <w:rStyle w:val="17"/>
          <w:rFonts w:ascii="Times New Roman" w:hAnsi="Times New Roman"/>
          <w:sz w:val="28"/>
          <w:szCs w:val="28"/>
        </w:rPr>
        <w:t>89</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sz w:val="28"/>
          <w:szCs w:val="28"/>
        </w:rPr>
        <w:t>, также представляются сведения о расходах.</w:t>
      </w:r>
    </w:p>
    <w:p w14:paraId="57991BEA">
      <w:pPr>
        <w:pStyle w:val="193"/>
        <w:numPr>
          <w:ilvl w:val="0"/>
          <w:numId w:val="1"/>
        </w:numPr>
        <w:ind w:left="0" w:firstLine="567"/>
        <w:rPr>
          <w:rFonts w:ascii="Times New Roman" w:hAnsi="Times New Roman"/>
          <w:sz w:val="28"/>
          <w:szCs w:val="28"/>
        </w:rPr>
      </w:pPr>
      <w:r>
        <w:rPr>
          <w:rFonts w:ascii="Times New Roman" w:hAnsi="Times New Roman"/>
          <w:sz w:val="28"/>
          <w:szCs w:val="28"/>
        </w:rPr>
        <w:t>Не предусмотрено в данном разделе справки отражение информации об оплате неотделимых улучшений объекта недвижимости.</w:t>
      </w:r>
    </w:p>
    <w:p w14:paraId="5B0CB198">
      <w:pPr>
        <w:pStyle w:val="193"/>
        <w:numPr>
          <w:ilvl w:val="0"/>
          <w:numId w:val="1"/>
        </w:numPr>
        <w:ind w:left="0" w:firstLine="567"/>
        <w:rPr>
          <w:rFonts w:ascii="Times New Roman" w:hAnsi="Times New Roman"/>
          <w:sz w:val="28"/>
          <w:szCs w:val="28"/>
        </w:rPr>
      </w:pPr>
      <w:bookmarkStart w:id="41" w:name="Кандраз22"/>
      <w:bookmarkEnd w:id="41"/>
      <w:r>
        <w:rPr>
          <w:rFonts w:ascii="Times New Roman" w:hAnsi="Times New Roman"/>
          <w:sz w:val="28"/>
          <w:szCs w:val="28"/>
        </w:rPr>
        <w:t xml:space="preserve">Представление сведений о расходах при отсутствии указанных </w:t>
      </w:r>
      <w:r>
        <w:rPr>
          <w:rFonts w:ascii="Times New Roman" w:hAnsi="Times New Roman"/>
          <w:sz w:val="28"/>
        </w:rPr>
        <w:t xml:space="preserve">в </w:t>
      </w:r>
      <w:r>
        <w:fldChar w:fldCharType="begin"/>
      </w:r>
      <w:r>
        <w:instrText xml:space="preserve"> HYPERLINK \l "Расходы" </w:instrText>
      </w:r>
      <w:r>
        <w:fldChar w:fldCharType="separate"/>
      </w:r>
      <w:r>
        <w:rPr>
          <w:rStyle w:val="17"/>
          <w:rFonts w:ascii="Times New Roman" w:hAnsi="Times New Roman"/>
          <w:sz w:val="28"/>
        </w:rPr>
        <w:t xml:space="preserve">пункте </w:t>
      </w:r>
      <w:r>
        <w:rPr>
          <w:rStyle w:val="17"/>
          <w:rFonts w:ascii="Times New Roman" w:hAnsi="Times New Roman"/>
          <w:sz w:val="28"/>
          <w:szCs w:val="28"/>
        </w:rPr>
        <w:t>89</w:t>
      </w:r>
      <w:r>
        <w:rPr>
          <w:rStyle w:val="17"/>
          <w:rFonts w:ascii="Times New Roman" w:hAnsi="Times New Roman"/>
          <w:sz w:val="28"/>
        </w:rPr>
        <w:t xml:space="preserve"> настоящих Методических рекомендаци</w:t>
      </w:r>
      <w:r>
        <w:rPr>
          <w:rStyle w:val="17"/>
          <w:rFonts w:ascii="Times New Roman" w:hAnsi="Times New Roman"/>
          <w:sz w:val="28"/>
          <w:szCs w:val="28"/>
        </w:rPr>
        <w:t>й</w:t>
      </w:r>
      <w:r>
        <w:rPr>
          <w:rStyle w:val="17"/>
          <w:rFonts w:ascii="Times New Roman" w:hAnsi="Times New Roman"/>
          <w:sz w:val="28"/>
          <w:szCs w:val="28"/>
        </w:rPr>
        <w:fldChar w:fldCharType="end"/>
      </w:r>
      <w:r>
        <w:rPr>
          <w:rFonts w:ascii="Times New Roman" w:hAnsi="Times New Roman"/>
          <w:sz w:val="28"/>
          <w:szCs w:val="28"/>
        </w:rPr>
        <w:t xml:space="preserve"> оснований не является нарушением.</w:t>
      </w:r>
    </w:p>
    <w:p w14:paraId="1105E884">
      <w:pPr>
        <w:pStyle w:val="193"/>
        <w:numPr>
          <w:ilvl w:val="0"/>
          <w:numId w:val="1"/>
        </w:numPr>
        <w:ind w:left="0" w:firstLine="567"/>
        <w:rPr>
          <w:rFonts w:ascii="Times New Roman" w:hAnsi="Times New Roman"/>
          <w:sz w:val="28"/>
          <w:szCs w:val="28"/>
        </w:rPr>
      </w:pPr>
      <w:r>
        <w:rPr>
          <w:rFonts w:ascii="Times New Roman" w:hAnsi="Times New Roman"/>
          <w:bCs/>
          <w:color w:val="000000"/>
          <w:sz w:val="28"/>
          <w:szCs w:val="28"/>
        </w:rPr>
        <w:t xml:space="preserve">При расчете общего дохода служащего (работника), его супруги (супруга) и несовершеннолетних детей суммируются доходы, полученные ими за три календарных года, предшествовавших году совершения сделки. Например, при представлении сведений о сделках, совершенных в 2025 году, суммируются доходы служащего (работника), его супруги (супруга) и несовершеннолетних детей, полученные в 2022, 2023 и 2024 годах. Общий доход служащего (работника), его супруги (супруга) и несовершеннолетних детей рассчитывается вне зависимости от замещаемой им должности в течение трех указанных лет, а также вне зависимости от места прохождения государственной службы, осуществления трудовой деятельности (на территории Российской Федерации, за рубежом). При расчете соответствующего общего дохода из него не вычитаются иные расходы, например, связанные с отпуском, оплатой </w:t>
      </w:r>
      <w:r>
        <w:rPr>
          <w:rFonts w:ascii="Times New Roman" w:hAnsi="Times New Roman"/>
          <w:sz w:val="28"/>
          <w:szCs w:val="28"/>
        </w:rPr>
        <w:t>жилищно-коммунальных услуг и т.п.</w:t>
      </w:r>
    </w:p>
    <w:p w14:paraId="0E171953">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Для цели реализации </w:t>
      </w:r>
      <w:r>
        <w:fldChar w:fldCharType="begin"/>
      </w:r>
      <w:r>
        <w:instrText xml:space="preserve"> HYPERLINK \l "Расходы" </w:instrText>
      </w:r>
      <w:r>
        <w:fldChar w:fldCharType="separate"/>
      </w:r>
      <w:r>
        <w:rPr>
          <w:rStyle w:val="17"/>
          <w:rFonts w:ascii="Times New Roman" w:hAnsi="Times New Roman"/>
          <w:sz w:val="28"/>
        </w:rPr>
        <w:t xml:space="preserve">пункта </w:t>
      </w:r>
      <w:r>
        <w:rPr>
          <w:rStyle w:val="17"/>
          <w:rFonts w:ascii="Times New Roman" w:hAnsi="Times New Roman"/>
          <w:sz w:val="28"/>
          <w:szCs w:val="28"/>
        </w:rPr>
        <w:t>89</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sz w:val="28"/>
          <w:szCs w:val="28"/>
        </w:rPr>
        <w:t xml:space="preserve"> при расчете общего дохода учитываются доходы супруги (супруга) служащего (работника), полученные в период нахождения в браке (аналогично в отношении доходов служащего (работника). </w:t>
      </w:r>
    </w:p>
    <w:p w14:paraId="2AB5D0B1">
      <w:pPr>
        <w:pStyle w:val="193"/>
        <w:ind w:left="0" w:firstLine="567"/>
        <w:rPr>
          <w:rFonts w:ascii="Times New Roman" w:hAnsi="Times New Roman"/>
          <w:sz w:val="28"/>
          <w:szCs w:val="28"/>
        </w:rPr>
      </w:pPr>
      <w:r>
        <w:rPr>
          <w:rFonts w:ascii="Times New Roman" w:hAnsi="Times New Roman"/>
          <w:sz w:val="28"/>
          <w:szCs w:val="28"/>
        </w:rPr>
        <w:t>Также учету подлежат доходы ребенка, полученные им в соответствующий трехлетний период и до достижения совершеннолетия.</w:t>
      </w:r>
    </w:p>
    <w:p w14:paraId="0F153428">
      <w:pPr>
        <w:pStyle w:val="193"/>
        <w:ind w:left="0" w:firstLine="567"/>
        <w:rPr>
          <w:rFonts w:ascii="Times New Roman" w:hAnsi="Times New Roman"/>
          <w:sz w:val="28"/>
          <w:szCs w:val="28"/>
        </w:rPr>
      </w:pPr>
      <w:r>
        <w:rPr>
          <w:rFonts w:ascii="Times New Roman" w:hAnsi="Times New Roman"/>
          <w:sz w:val="28"/>
          <w:szCs w:val="28"/>
        </w:rPr>
        <w:t>Если супругой (супругом) совершена сделка (сделки) до вступления в брак со служащим (работником), то в рамках декларационной кампании информация о данной сделке (сделках) не подлежит отражению в разделе 2 справки.</w:t>
      </w:r>
    </w:p>
    <w:p w14:paraId="43946AE3">
      <w:pPr>
        <w:pStyle w:val="193"/>
        <w:numPr>
          <w:ilvl w:val="0"/>
          <w:numId w:val="1"/>
        </w:numPr>
        <w:tabs>
          <w:tab w:val="left" w:pos="0"/>
          <w:tab w:val="left" w:pos="1418"/>
        </w:tabs>
        <w:ind w:left="0" w:firstLine="567"/>
        <w:rPr>
          <w:rFonts w:ascii="Times New Roman" w:hAnsi="Times New Roman"/>
          <w:sz w:val="28"/>
          <w:szCs w:val="28"/>
        </w:rPr>
      </w:pPr>
      <w:r>
        <w:rPr>
          <w:rFonts w:ascii="Times New Roman" w:hAnsi="Times New Roman"/>
          <w:sz w:val="28"/>
          <w:szCs w:val="28"/>
        </w:rPr>
        <w:t xml:space="preserve">В случае приобретения в общую собственность служащим (работником), его супругой (супругом) и (или) несовершеннолетними детьми соответствующего объекта имущества совместно с иными лицами (на стороне покупателя выступает множественность лиц), то такая сделка, превышающая общий доход лица, его супруги (супруга) и несовершеннолетних детей за три последних года, предшествующих отчетному периоду, подлежит отражению в настоящем разделе справки. </w:t>
      </w:r>
    </w:p>
    <w:p w14:paraId="2FD570A4">
      <w:pPr>
        <w:pStyle w:val="193"/>
        <w:tabs>
          <w:tab w:val="left" w:pos="0"/>
          <w:tab w:val="left" w:pos="1418"/>
        </w:tabs>
        <w:ind w:left="0" w:firstLine="567"/>
        <w:rPr>
          <w:rFonts w:ascii="Times New Roman" w:hAnsi="Times New Roman"/>
          <w:sz w:val="28"/>
          <w:szCs w:val="28"/>
        </w:rPr>
      </w:pPr>
      <w:r>
        <w:rPr>
          <w:rFonts w:ascii="Times New Roman" w:hAnsi="Times New Roman"/>
          <w:sz w:val="28"/>
          <w:szCs w:val="28"/>
        </w:rPr>
        <w:t>В случае если заключаются отдельные сделки по приобретению долей в недвижимости, то учитывается общая стоимость каждой из сделок, совершенных служащим (работником), его супругой (супругом) и (или) несовершеннолетними детьми.</w:t>
      </w:r>
    </w:p>
    <w:p w14:paraId="2A4F05D1">
      <w:pPr>
        <w:pStyle w:val="193"/>
        <w:numPr>
          <w:ilvl w:val="0"/>
          <w:numId w:val="1"/>
        </w:numPr>
        <w:ind w:left="0" w:firstLine="567"/>
        <w:rPr>
          <w:rFonts w:ascii="Times New Roman" w:hAnsi="Times New Roman"/>
          <w:sz w:val="28"/>
          <w:szCs w:val="28"/>
        </w:rPr>
      </w:pPr>
      <w:r>
        <w:rPr>
          <w:rFonts w:ascii="Times New Roman" w:hAnsi="Times New Roman"/>
          <w:sz w:val="28"/>
          <w:szCs w:val="28"/>
        </w:rPr>
        <w:t>Использование для приобретения объекта недвижимого имущества средств, предоставленных государством (например, единовременная субсидия на приобретение жилого помещения, денежные средства, полученные участником накопительно-ипотечной системы жилищного обеспечения военнослужащих), не освобождает от обязанности представить сведения о расходах (при условии, что сделка совершена в отчетном периоде и сумма сделки или общая сумма совершенных сделок превышает общий доход служащего (работника), его супруги (супруга) и несовершеннолетних детей за три последних года, предшествующих совершению сделки).</w:t>
      </w:r>
    </w:p>
    <w:p w14:paraId="349EEC48">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Сведения о расходах </w:t>
      </w:r>
      <w:r>
        <w:rPr>
          <w:rFonts w:ascii="Times New Roman" w:hAnsi="Times New Roman"/>
          <w:b/>
          <w:sz w:val="28"/>
          <w:szCs w:val="28"/>
        </w:rPr>
        <w:t xml:space="preserve">не представляются </w:t>
      </w:r>
      <w:r>
        <w:rPr>
          <w:rFonts w:ascii="Times New Roman" w:hAnsi="Times New Roman"/>
          <w:sz w:val="28"/>
          <w:szCs w:val="28"/>
        </w:rPr>
        <w:t>в следующих случаях:</w:t>
      </w:r>
    </w:p>
    <w:p w14:paraId="4FDB5953">
      <w:pPr>
        <w:pStyle w:val="193"/>
        <w:ind w:left="0" w:firstLine="567"/>
        <w:rPr>
          <w:rFonts w:ascii="Times New Roman" w:hAnsi="Times New Roman"/>
          <w:sz w:val="28"/>
          <w:szCs w:val="28"/>
        </w:rPr>
      </w:pPr>
      <w:r>
        <w:rPr>
          <w:rFonts w:ascii="Times New Roman" w:hAnsi="Times New Roman"/>
          <w:sz w:val="28"/>
          <w:szCs w:val="28"/>
        </w:rPr>
        <w:t>1) при отсутствии правовых оснований для представления сведений о расходах (например, приобретено имущество или имущественные права, не предусмотренные Федеральным законом от 3 декабря 2012 г. № 230-ФЗ "О контроле за соответствием расходов лиц, замещающих государственные должности, и иных лиц их доходам");</w:t>
      </w:r>
    </w:p>
    <w:p w14:paraId="2CFEB6D2">
      <w:pPr>
        <w:ind w:firstLine="567"/>
        <w:rPr>
          <w:rFonts w:ascii="Times New Roman" w:hAnsi="Times New Roman"/>
          <w:sz w:val="28"/>
          <w:szCs w:val="28"/>
        </w:rPr>
      </w:pPr>
      <w:r>
        <w:rPr>
          <w:rFonts w:ascii="Times New Roman" w:hAnsi="Times New Roman"/>
          <w:sz w:val="28"/>
          <w:szCs w:val="28"/>
        </w:rPr>
        <w:t>2) земельный участок, другой объект недвижимости, транспортное средство, ценные бумаги (доля участия, пай в уставном (складочном) капитале организации), цифровые финансовые активы, цифровая валюта приобретены в результате совершения безвозмездной сделки (наследование, дарение и др.), а также если цифровая валюта получена в результате осуществления майнинга или участия в майнинг-пуле. При этом такое имущество отражается в соответствующих разделах справки;</w:t>
      </w:r>
    </w:p>
    <w:p w14:paraId="42B85ED2">
      <w:pPr>
        <w:ind w:firstLine="567"/>
        <w:rPr>
          <w:rFonts w:ascii="Times New Roman" w:hAnsi="Times New Roman"/>
          <w:sz w:val="28"/>
          <w:szCs w:val="28"/>
        </w:rPr>
      </w:pPr>
      <w:r>
        <w:rPr>
          <w:rFonts w:ascii="Times New Roman" w:hAnsi="Times New Roman"/>
          <w:sz w:val="28"/>
          <w:szCs w:val="28"/>
        </w:rPr>
        <w:t>3) осуществлена государственная регистрация права собственности на недвижимое имущество без совершения сделки по приобретению данного имущества (например, возведение жилого дома на земельном участке).</w:t>
      </w:r>
    </w:p>
    <w:p w14:paraId="4BA96088">
      <w:pPr>
        <w:pStyle w:val="4"/>
      </w:pPr>
      <w:bookmarkStart w:id="42" w:name="_Toc225936077"/>
      <w:r>
        <w:t>Вид приобретенного имущества</w:t>
      </w:r>
      <w:bookmarkEnd w:id="42"/>
    </w:p>
    <w:p w14:paraId="361A7189">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При заполнении графы </w:t>
      </w:r>
      <w:r>
        <w:rPr>
          <w:rFonts w:ascii="Times New Roman" w:hAnsi="Times New Roman"/>
          <w:b/>
          <w:sz w:val="28"/>
        </w:rPr>
        <w:t>"</w:t>
      </w:r>
      <w:r>
        <w:rPr>
          <w:rStyle w:val="42"/>
        </w:rPr>
        <w:t>Вид приобретенного имущества</w:t>
      </w:r>
      <w:r>
        <w:rPr>
          <w:rFonts w:ascii="Times New Roman" w:hAnsi="Times New Roman"/>
          <w:b/>
          <w:sz w:val="28"/>
        </w:rPr>
        <w:t>"</w:t>
      </w:r>
      <w:r>
        <w:rPr>
          <w:rFonts w:ascii="Times New Roman" w:hAnsi="Times New Roman"/>
          <w:sz w:val="28"/>
          <w:szCs w:val="28"/>
        </w:rPr>
        <w:t xml:space="preserve"> указывается, например, земельный участок для ведения личного подсобного хозяйства, огородничества, садоводства, индивидуального гаражного или индивидуального жилищного строительства. </w:t>
      </w:r>
      <w:r>
        <w:rPr>
          <w:rFonts w:ascii="Times New Roman" w:hAnsi="Times New Roman"/>
          <w:bCs/>
          <w:color w:val="000000"/>
          <w:sz w:val="28"/>
          <w:szCs w:val="28"/>
        </w:rPr>
        <w:t>Для объекта недвижимого имущества рекомендуется указывать его местонахождение (адрес) и площадь. Для транспортного средства рекомендуется указывать вид, марку, модель транспортного средства, год изготовления. Для ценных бумаг рекомендуется указывать вид ценной бумаги, сведения о выпустившем ее лице (для юридических лиц – наименование, организационно-правовую форму, местонахождение). Для цифровых финансовых активов и цифровых валют – наименование.</w:t>
      </w:r>
    </w:p>
    <w:p w14:paraId="79BB6936">
      <w:pPr>
        <w:pStyle w:val="4"/>
      </w:pPr>
      <w:bookmarkStart w:id="43" w:name="_Toc225936078"/>
      <w:r>
        <w:t>Сумма сделки</w:t>
      </w:r>
      <w:bookmarkEnd w:id="43"/>
    </w:p>
    <w:p w14:paraId="03539C55">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szCs w:val="28"/>
        </w:rPr>
        <w:t>"Сумма сделки (руб.)"</w:t>
      </w:r>
      <w:r>
        <w:rPr>
          <w:rFonts w:ascii="Times New Roman" w:hAnsi="Times New Roman"/>
          <w:sz w:val="28"/>
          <w:szCs w:val="28"/>
        </w:rPr>
        <w:t xml:space="preserve"> указывается сумма сделки в рублях. В случае если расходы по сделке выражены в иностранной валюте, то осуществляется перевод в рубли по курсу, установленному Банком России, на дату совершения сделки.</w:t>
      </w:r>
    </w:p>
    <w:p w14:paraId="5106CDDD">
      <w:pPr>
        <w:pStyle w:val="4"/>
      </w:pPr>
      <w:bookmarkStart w:id="44" w:name="_Toc225936079"/>
      <w:r>
        <w:t>Источник получения средств, за счет которых приобретено имущество</w:t>
      </w:r>
      <w:bookmarkEnd w:id="44"/>
    </w:p>
    <w:p w14:paraId="2F82670B">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При заполнении графы </w:t>
      </w:r>
      <w:r>
        <w:rPr>
          <w:rFonts w:ascii="Times New Roman" w:hAnsi="Times New Roman"/>
          <w:b/>
          <w:sz w:val="28"/>
        </w:rPr>
        <w:t>"</w:t>
      </w:r>
      <w:r>
        <w:rPr>
          <w:rFonts w:ascii="Times New Roman" w:hAnsi="Times New Roman"/>
          <w:b/>
          <w:sz w:val="28"/>
          <w:szCs w:val="28"/>
        </w:rPr>
        <w:t>Источник получения средств, за счет которых приобретено имущество</w:t>
      </w:r>
      <w:r>
        <w:rPr>
          <w:rFonts w:ascii="Times New Roman" w:hAnsi="Times New Roman"/>
          <w:b/>
          <w:sz w:val="28"/>
        </w:rPr>
        <w:t>"</w:t>
      </w:r>
      <w:r>
        <w:rPr>
          <w:rFonts w:ascii="Times New Roman" w:hAnsi="Times New Roman"/>
          <w:b/>
          <w:sz w:val="28"/>
          <w:szCs w:val="28"/>
        </w:rPr>
        <w:t xml:space="preserve"> </w:t>
      </w:r>
      <w:r>
        <w:rPr>
          <w:rFonts w:ascii="Times New Roman" w:hAnsi="Times New Roman"/>
          <w:sz w:val="28"/>
          <w:szCs w:val="28"/>
        </w:rPr>
        <w:t>следует указывать наименование источника получения средств и размер полученного дохода по каждому из источников.</w:t>
      </w:r>
    </w:p>
    <w:p w14:paraId="38B7D568">
      <w:pPr>
        <w:pStyle w:val="193"/>
        <w:numPr>
          <w:ilvl w:val="0"/>
          <w:numId w:val="1"/>
        </w:numPr>
        <w:ind w:left="0" w:firstLine="567"/>
        <w:rPr>
          <w:rFonts w:ascii="Times New Roman" w:hAnsi="Times New Roman"/>
          <w:sz w:val="28"/>
          <w:szCs w:val="28"/>
        </w:rPr>
      </w:pPr>
      <w:r>
        <w:rPr>
          <w:rFonts w:ascii="Times New Roman" w:hAnsi="Times New Roman"/>
          <w:sz w:val="28"/>
          <w:szCs w:val="28"/>
        </w:rPr>
        <w:t>Источниками получения средств, за счет которых приобретено имущество, является весь объем законных доходов, которые использованы служащим (работником), его супругой (супругом) и (или) несовершеннолетними детьми для осуществления расходов по сделке (сделкам).</w:t>
      </w:r>
    </w:p>
    <w:p w14:paraId="7F82CA66">
      <w:pPr>
        <w:pStyle w:val="193"/>
        <w:numPr>
          <w:ilvl w:val="0"/>
          <w:numId w:val="1"/>
        </w:numPr>
        <w:ind w:left="0" w:firstLine="567"/>
        <w:rPr>
          <w:rFonts w:ascii="Times New Roman" w:hAnsi="Times New Roman"/>
          <w:sz w:val="28"/>
          <w:szCs w:val="28"/>
        </w:rPr>
      </w:pPr>
      <w:r>
        <w:rPr>
          <w:rFonts w:ascii="Times New Roman" w:hAnsi="Times New Roman"/>
          <w:sz w:val="28"/>
          <w:szCs w:val="28"/>
        </w:rPr>
        <w:t>При этом служащий (работник) в свободной форме может уточнить обстоятельства получения дохода и полученные от данного источника суммы. Например, для дохода от иной оплачиваемой деятельности (помимо основного места работы) могут быть указаны организации, где лицо работало по совместительству; для наследства может быть указано лицо, от которого оно было получено; для ипотеки может быть указана организация, с которой заключен договор ипотеки, и реквизиты такого договора.</w:t>
      </w:r>
    </w:p>
    <w:p w14:paraId="05E47AEB">
      <w:pPr>
        <w:pStyle w:val="4"/>
      </w:pPr>
      <w:bookmarkStart w:id="45" w:name="_Toc225936080"/>
      <w:r>
        <w:t>Основания приобретения имущества</w:t>
      </w:r>
      <w:bookmarkEnd w:id="45"/>
    </w:p>
    <w:p w14:paraId="579BA02B">
      <w:pPr>
        <w:pStyle w:val="204"/>
        <w:numPr>
          <w:ilvl w:val="0"/>
          <w:numId w:val="1"/>
        </w:numPr>
        <w:ind w:left="0" w:firstLine="567"/>
        <w:jc w:val="both"/>
      </w:pPr>
      <w:bookmarkStart w:id="46" w:name="Реестр"/>
      <w:r>
        <w:t xml:space="preserve">В графе </w:t>
      </w:r>
      <w:r>
        <w:rPr>
          <w:b/>
        </w:rPr>
        <w:t xml:space="preserve">"Основания приобретения имущества" </w:t>
      </w:r>
      <w:r>
        <w:t>указываются регистрационный номер и дата записи в Едином государственном реестре недвижимости (ЕГРН)</w:t>
      </w:r>
      <w:r>
        <w:rPr>
          <w:bCs/>
        </w:rPr>
        <w:t xml:space="preserve">. Также указываются </w:t>
      </w:r>
      <w:r>
        <w:t xml:space="preserve">наименование и реквизиты документа, являющегося основанием для приобретения права собственности на недвижимое имущество (договор купли-продажи и др.). В случае приобретения другого имущества (например, транспортного средства, ценных бумаг) </w:t>
      </w:r>
      <w:r>
        <w:rPr>
          <w:bCs/>
          <w:color w:val="000000"/>
        </w:rPr>
        <w:t>–</w:t>
      </w:r>
      <w:r>
        <w:t xml:space="preserve"> наименование и реквизиты документа, являющегося законным основанием для возникновения права собственности. Копия документа прилагается к справке.</w:t>
      </w:r>
    </w:p>
    <w:p w14:paraId="085C67DE">
      <w:pPr>
        <w:pStyle w:val="204"/>
        <w:ind w:firstLine="567"/>
        <w:jc w:val="both"/>
      </w:pPr>
      <w:r>
        <w:t xml:space="preserve">В отношении цифровых финансовых активов в качестве основания приобретения указываются реквизиты записи о цифровых финансовых активах в информационной системе, в которой осуществляется выпуск цифровых финансовых активов, и прикладывается выписка из данной информационной системы. </w:t>
      </w:r>
    </w:p>
    <w:p w14:paraId="5C0965BF">
      <w:pPr>
        <w:pStyle w:val="204"/>
        <w:ind w:firstLine="567"/>
        <w:jc w:val="both"/>
      </w:pPr>
      <w:r>
        <w:t xml:space="preserve">В отношении цифровой валюты в качестве основания приобретения указываются идентификационный номер и дата транзакции и прикладывается выписка о транзакции при ее наличии по применимому праву. </w:t>
      </w:r>
    </w:p>
    <w:p w14:paraId="6F912FC5">
      <w:pPr>
        <w:pStyle w:val="204"/>
        <w:ind w:firstLine="567"/>
        <w:jc w:val="both"/>
      </w:pPr>
      <w:r>
        <w:t>В отношении сделок по приобретению цифровых финансовых активов и цифровой валюты к справке прилагаются документы (при их наличии), подтверждающие сумму сделки и (или) содержащие информацию о второй стороне сделки.</w:t>
      </w:r>
    </w:p>
    <w:bookmarkEnd w:id="46"/>
    <w:p w14:paraId="307BEA15">
      <w:pPr>
        <w:pStyle w:val="4"/>
      </w:pPr>
      <w:bookmarkStart w:id="47" w:name="_Toc225936081"/>
      <w:r>
        <w:t>Особенности представления сведений о расходах</w:t>
      </w:r>
      <w:bookmarkEnd w:id="47"/>
      <w:r>
        <w:t xml:space="preserve"> </w:t>
      </w:r>
    </w:p>
    <w:p w14:paraId="2FE27B2C">
      <w:pPr>
        <w:pStyle w:val="204"/>
        <w:numPr>
          <w:ilvl w:val="0"/>
          <w:numId w:val="1"/>
        </w:numPr>
        <w:ind w:left="0" w:firstLine="567"/>
        <w:jc w:val="both"/>
        <w:rPr>
          <w:b/>
        </w:rPr>
      </w:pPr>
      <w:r>
        <w:t>Особенности представления сведений о расходах:</w:t>
      </w:r>
    </w:p>
    <w:p w14:paraId="1E9C2253">
      <w:pPr>
        <w:ind w:firstLine="567"/>
        <w:rPr>
          <w:rFonts w:ascii="Times New Roman" w:hAnsi="Times New Roman"/>
          <w:sz w:val="28"/>
          <w:szCs w:val="28"/>
        </w:rPr>
      </w:pPr>
      <w:r>
        <w:rPr>
          <w:rFonts w:ascii="Times New Roman" w:hAnsi="Times New Roman"/>
          <w:b/>
          <w:sz w:val="28"/>
          <w:szCs w:val="28"/>
        </w:rPr>
        <w:t>1) приобретение недвижимого имущества посредством участия в долевом строительстве.</w:t>
      </w:r>
      <w:r>
        <w:rPr>
          <w:rFonts w:ascii="Times New Roman" w:hAnsi="Times New Roman"/>
          <w:sz w:val="28"/>
          <w:szCs w:val="28"/>
        </w:rPr>
        <w:t xml:space="preserve"> Сведения об объекте долевого строительства, в отношении которого заключен договор участия в долевом строительстве (в том числе с использованием счета эскроу), отражаются в сведениях о расходах в случае, если договор заключен на сумму, превышающую общий доход служащего (работника), его супруги (супруга) и несовершеннолетних детей за три последних года, предшествующих совершению сделки. Копия договора прилагается к справке.</w:t>
      </w:r>
    </w:p>
    <w:p w14:paraId="1CBDFBC7">
      <w:pPr>
        <w:ind w:firstLine="567"/>
        <w:rPr>
          <w:rFonts w:ascii="Times New Roman" w:hAnsi="Times New Roman"/>
          <w:sz w:val="28"/>
          <w:szCs w:val="28"/>
        </w:rPr>
      </w:pPr>
      <w:r>
        <w:rPr>
          <w:rFonts w:ascii="Times New Roman" w:hAnsi="Times New Roman"/>
          <w:sz w:val="28"/>
          <w:szCs w:val="28"/>
        </w:rPr>
        <w:t>Одновременно при наличии оснований информация об имеющихся на отчетную дату финансовых обязательствах по договору (договорам) долевого строительства подлежит отражению в подразделе 6.2 раздела 6 справки. При этом не имеет значения, оформлялся ли кредитный договор с банком или иной кредитной организацией для оплаты по указанному договору.</w:t>
      </w:r>
    </w:p>
    <w:p w14:paraId="3F70D357">
      <w:pPr>
        <w:shd w:val="clear" w:color="auto" w:fill="FFFFFF"/>
        <w:ind w:firstLine="567"/>
        <w:rPr>
          <w:rFonts w:ascii="Times New Roman" w:hAnsi="Times New Roman"/>
          <w:sz w:val="28"/>
          <w:szCs w:val="28"/>
        </w:rPr>
      </w:pPr>
      <w:r>
        <w:rPr>
          <w:rFonts w:ascii="Times New Roman" w:hAnsi="Times New Roman"/>
          <w:sz w:val="28"/>
          <w:szCs w:val="28"/>
        </w:rPr>
        <w:t xml:space="preserve">На практике распространены случаи, когда период с даты выплаты в полном объеме денежных средств в соответствии с договором долевого участия (с даты размещения денежных средств на счете эскроу)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к участнику долевого строительства, которым в соответствии с договором долевого участия выполнены обязательства по уплате полной стоимости подлежащего передаче объекта, подлежат отражению в подразделе 6.2 раздела 6 справки. После осуществления лицом - участником долевого строительства государственной регистрации права </w:t>
      </w:r>
      <w:r>
        <w:rPr>
          <w:rFonts w:ascii="Times New Roman" w:hAnsi="Times New Roman"/>
          <w:spacing w:val="2"/>
          <w:sz w:val="28"/>
          <w:szCs w:val="28"/>
        </w:rPr>
        <w:t xml:space="preserve">собственности на недвижимое имущество, приобретенное на основании </w:t>
      </w:r>
      <w:r>
        <w:rPr>
          <w:rFonts w:ascii="Times New Roman" w:hAnsi="Times New Roman"/>
          <w:spacing w:val="1"/>
          <w:sz w:val="28"/>
          <w:szCs w:val="28"/>
        </w:rPr>
        <w:t xml:space="preserve">договора долевого участия, сведения об этом имуществе подлежат указанию </w:t>
      </w:r>
      <w:r>
        <w:rPr>
          <w:rFonts w:ascii="Times New Roman" w:hAnsi="Times New Roman"/>
          <w:sz w:val="28"/>
          <w:szCs w:val="28"/>
        </w:rPr>
        <w:t>в подразделе 3.1 раздела 3 справки;</w:t>
      </w:r>
    </w:p>
    <w:p w14:paraId="66688679">
      <w:pPr>
        <w:ind w:firstLine="567"/>
        <w:rPr>
          <w:rFonts w:ascii="Times New Roman" w:hAnsi="Times New Roman"/>
          <w:sz w:val="28"/>
          <w:szCs w:val="28"/>
        </w:rPr>
      </w:pPr>
      <w:r>
        <w:rPr>
          <w:rFonts w:ascii="Times New Roman" w:hAnsi="Times New Roman"/>
          <w:b/>
          <w:sz w:val="28"/>
          <w:szCs w:val="28"/>
        </w:rPr>
        <w:t>2) приобретение недвижимого имущества посредством участия в кооперативе.</w:t>
      </w:r>
      <w:r>
        <w:rPr>
          <w:rFonts w:ascii="Times New Roman" w:hAnsi="Times New Roman"/>
          <w:sz w:val="28"/>
          <w:szCs w:val="28"/>
        </w:rPr>
        <w:t xml:space="preserve"> Обязанность представления сведений о расходах возникает в случае, если лицо совершило сделку (сделки) по приобретению недвижимого имущества по договору купли-продажи пая (части пая), сумма которой (которых) превышает общий доход служащего (работника), его супруги (супруга) и несовершеннолетних детей за три последних года, предшествующих году, в котором совершена сделка (сделки);</w:t>
      </w:r>
    </w:p>
    <w:p w14:paraId="52FBAFF0">
      <w:pPr>
        <w:ind w:firstLine="567"/>
        <w:rPr>
          <w:rFonts w:ascii="Times New Roman" w:hAnsi="Times New Roman"/>
          <w:sz w:val="28"/>
          <w:szCs w:val="28"/>
        </w:rPr>
      </w:pPr>
      <w:r>
        <w:rPr>
          <w:rFonts w:ascii="Times New Roman" w:hAnsi="Times New Roman"/>
          <w:b/>
          <w:sz w:val="28"/>
          <w:szCs w:val="28"/>
        </w:rPr>
        <w:t>3) приобретение ценных бумаг.</w:t>
      </w:r>
      <w:r>
        <w:rPr>
          <w:rFonts w:ascii="Times New Roman" w:hAnsi="Times New Roman"/>
          <w:sz w:val="28"/>
          <w:szCs w:val="28"/>
        </w:rPr>
        <w:t xml:space="preserve"> Одной (каждой) сделкой купли-продажи ценных бумаг следует считать действие, в результате которого возникает право собственности на соответствующие ценные бумаги, приобретенные лично или через представителя (брокера) в пределах установленного ограничения на сумму совершаемых сделок.</w:t>
      </w:r>
    </w:p>
    <w:p w14:paraId="1C997E2E">
      <w:pPr>
        <w:ind w:firstLine="567"/>
        <w:rPr>
          <w:rFonts w:ascii="Times New Roman" w:hAnsi="Times New Roman"/>
          <w:sz w:val="28"/>
          <w:szCs w:val="28"/>
        </w:rPr>
      </w:pPr>
      <w:r>
        <w:rPr>
          <w:rFonts w:ascii="Times New Roman" w:hAnsi="Times New Roman"/>
          <w:b/>
          <w:sz w:val="28"/>
          <w:szCs w:val="28"/>
        </w:rPr>
        <w:t>4) приобретение цифровых финансовых активов и цифровых валют.</w:t>
      </w:r>
      <w:r>
        <w:rPr>
          <w:rFonts w:ascii="Times New Roman" w:hAnsi="Times New Roman"/>
          <w:sz w:val="28"/>
          <w:szCs w:val="28"/>
        </w:rPr>
        <w:t xml:space="preserve"> Одной (каждой) сделкой купли-продажи цифровых финансовых активов или цифровых валют следует считать действие, в результате которого возникает право собственности на соответствующие цифровые финансовые активы или цифровые валюты, приобретенные в пределах установленного ограничения на сумму совершаемых сделок.</w:t>
      </w:r>
    </w:p>
    <w:p w14:paraId="00213532">
      <w:pPr>
        <w:ind w:firstLine="851"/>
        <w:rPr>
          <w:rFonts w:ascii="Times New Roman" w:hAnsi="Times New Roman"/>
          <w:sz w:val="28"/>
          <w:szCs w:val="28"/>
        </w:rPr>
      </w:pPr>
    </w:p>
    <w:p w14:paraId="23549D37">
      <w:pPr>
        <w:pStyle w:val="3"/>
        <w:ind w:firstLine="0"/>
        <w:jc w:val="center"/>
        <w:rPr>
          <w:b w:val="0"/>
        </w:rPr>
      </w:pPr>
      <w:bookmarkStart w:id="48" w:name="_Toc225936082"/>
      <w:r>
        <w:t>РАЗДЕЛ 3. СВЕДЕНИЯ ОБ ИМУЩЕСТВЕ</w:t>
      </w:r>
      <w:bookmarkEnd w:id="48"/>
    </w:p>
    <w:p w14:paraId="001FFE82">
      <w:pPr>
        <w:ind w:firstLine="851"/>
        <w:jc w:val="center"/>
        <w:rPr>
          <w:rFonts w:ascii="Times New Roman" w:hAnsi="Times New Roman" w:eastAsia="Times New Roman"/>
          <w:sz w:val="28"/>
          <w:szCs w:val="28"/>
        </w:rPr>
      </w:pPr>
    </w:p>
    <w:p w14:paraId="66736531">
      <w:pPr>
        <w:pStyle w:val="4"/>
        <w:rPr>
          <w:b w:val="0"/>
        </w:rPr>
      </w:pPr>
      <w:bookmarkStart w:id="49" w:name="_Toc225936083"/>
      <w:r>
        <w:t>Подраздел 3.1 Недвижимое имущество</w:t>
      </w:r>
      <w:bookmarkEnd w:id="49"/>
    </w:p>
    <w:p w14:paraId="73FDE9D5">
      <w:pPr>
        <w:pStyle w:val="5"/>
      </w:pPr>
      <w:r>
        <w:t>Основные положения</w:t>
      </w:r>
    </w:p>
    <w:p w14:paraId="6F008138">
      <w:pPr>
        <w:pStyle w:val="193"/>
        <w:numPr>
          <w:ilvl w:val="0"/>
          <w:numId w:val="1"/>
        </w:numPr>
        <w:ind w:left="0" w:firstLine="567"/>
        <w:rPr>
          <w:rFonts w:ascii="Times New Roman" w:hAnsi="Times New Roman"/>
          <w:sz w:val="28"/>
          <w:szCs w:val="28"/>
        </w:rPr>
      </w:pPr>
      <w:r>
        <w:rPr>
          <w:rFonts w:ascii="Times New Roman" w:hAnsi="Times New Roman"/>
          <w:sz w:val="28"/>
          <w:szCs w:val="28"/>
        </w:rPr>
        <w:t>Понятие недвижимого имущества установлено статьей 130 Гражданского кодекса Российской Федерации. Согласно указанной статье к недвижимым вещам (недвижимое имущество, недвижимость) относятся земельные участки, участки недр и все, что прочно связано с землей, то есть объекты, перемещение которых без несоразмерного ущерба их назначению невозможно, в том числе здания, сооружения, объекты незавершенного строительства. Законом к недвижимым вещам может быть отнесено и иное имущество (например – буровые скважины, распределительный газопровод среднего или низкого давления, линии электропередачи, линии связи и др.).</w:t>
      </w:r>
    </w:p>
    <w:p w14:paraId="016A3077">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При заполнении данного подраздела указываются все объекты недвижимости, принадлежащие служащему (работнику), его супруге (супругу) и (или) несовершеннолетним детям на праве собственности, независимо от того, когда они были приобретены, в каком регионе Российской Федерации или в каком государстве зарегистрированы. </w:t>
      </w:r>
    </w:p>
    <w:p w14:paraId="61D20717">
      <w:pPr>
        <w:ind w:firstLine="567"/>
        <w:rPr>
          <w:rFonts w:ascii="Times New Roman" w:hAnsi="Times New Roman"/>
          <w:sz w:val="28"/>
          <w:szCs w:val="28"/>
        </w:rPr>
      </w:pPr>
      <w:r>
        <w:rPr>
          <w:rFonts w:ascii="Times New Roman" w:hAnsi="Times New Roman"/>
          <w:sz w:val="28"/>
          <w:szCs w:val="28"/>
        </w:rPr>
        <w:t xml:space="preserve">Также в данном подразделе подлежат отражению объекты недвижимого имущества, принадлежащие на праве собственности </w:t>
      </w:r>
      <w:r>
        <w:rPr>
          <w:rFonts w:ascii="Times New Roman" w:hAnsi="Times New Roman"/>
          <w:sz w:val="28"/>
          <w:szCs w:val="28"/>
          <w:shd w:val="clear" w:color="auto" w:fill="FFFFFF"/>
        </w:rPr>
        <w:t>гражданину, зарегистрированному в качестве индивидуального предпринимателя</w:t>
      </w:r>
      <w:r>
        <w:rPr>
          <w:rFonts w:ascii="Times New Roman" w:hAnsi="Times New Roman"/>
          <w:sz w:val="28"/>
          <w:szCs w:val="28"/>
        </w:rPr>
        <w:t>.</w:t>
      </w:r>
    </w:p>
    <w:p w14:paraId="5166F098">
      <w:pPr>
        <w:ind w:firstLine="567"/>
        <w:rPr>
          <w:rFonts w:ascii="Times New Roman" w:hAnsi="Times New Roman"/>
          <w:sz w:val="28"/>
          <w:szCs w:val="28"/>
        </w:rPr>
      </w:pPr>
      <w:r>
        <w:rPr>
          <w:rFonts w:ascii="Times New Roman" w:hAnsi="Times New Roman"/>
          <w:sz w:val="28"/>
          <w:szCs w:val="28"/>
        </w:rPr>
        <w:t xml:space="preserve">При заполнении данного подраздела рекомендуется заблаговременно проверить наличие и достоверность документов о праве собственности и/или выписки </w:t>
      </w:r>
      <w:r>
        <w:rPr>
          <w:rFonts w:ascii="Times New Roman" w:hAnsi="Times New Roman"/>
          <w:sz w:val="28"/>
          <w:szCs w:val="28"/>
        </w:rPr>
        <w:br w:type="textWrapping"/>
      </w:r>
      <w:r>
        <w:rPr>
          <w:rFonts w:ascii="Times New Roman" w:hAnsi="Times New Roman"/>
          <w:sz w:val="28"/>
          <w:szCs w:val="28"/>
        </w:rPr>
        <w:t xml:space="preserve">из Единого государственного реестра недвижимости (ЕГРН) (за исключением случая, предусмотренного </w:t>
      </w:r>
      <w:r>
        <w:fldChar w:fldCharType="begin"/>
      </w:r>
      <w:r>
        <w:instrText xml:space="preserve"> HYPERLINK \l "ЕГРН" </w:instrText>
      </w:r>
      <w:r>
        <w:fldChar w:fldCharType="separate"/>
      </w:r>
      <w:r>
        <w:rPr>
          <w:rStyle w:val="17"/>
          <w:rFonts w:ascii="Times New Roman" w:hAnsi="Times New Roman"/>
          <w:sz w:val="28"/>
        </w:rPr>
        <w:t xml:space="preserve">пунктом </w:t>
      </w:r>
      <w:r>
        <w:rPr>
          <w:rStyle w:val="17"/>
          <w:rFonts w:ascii="Times New Roman" w:hAnsi="Times New Roman"/>
          <w:sz w:val="28"/>
          <w:szCs w:val="28"/>
        </w:rPr>
        <w:t>124</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sz w:val="28"/>
          <w:szCs w:val="28"/>
        </w:rPr>
        <w:t xml:space="preserve">). </w:t>
      </w:r>
    </w:p>
    <w:p w14:paraId="7528EA75">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Юридическим актом признания и подтверждения возникновения, изменения, перехода, прекращения права определенного лица на недвижимое имущество или ограничения такого права и обременения недвижимого имущества является государственная регистрация прав на недвижимое имущество (часть 3 статьи 1 Федерального закона от 13 июля 2015 г. № 218-ФЗ "О государственной регистрации недвижимости"). </w:t>
      </w:r>
    </w:p>
    <w:p w14:paraId="3DB77248">
      <w:pPr>
        <w:pStyle w:val="193"/>
        <w:ind w:left="0" w:firstLine="567"/>
        <w:rPr>
          <w:rFonts w:ascii="Times New Roman" w:hAnsi="Times New Roman"/>
          <w:sz w:val="28"/>
          <w:szCs w:val="28"/>
        </w:rPr>
      </w:pPr>
      <w:r>
        <w:rPr>
          <w:rFonts w:ascii="Times New Roman" w:hAnsi="Times New Roman"/>
          <w:sz w:val="28"/>
          <w:szCs w:val="28"/>
        </w:rPr>
        <w:t xml:space="preserve">В связи с этим сведения об объекте недвижимости указываются в данном подразделе в точном соответствии с информацией об этом объекте, содержащейся в Едином государственном реестре недвижимости (ЕГРН) на отчетную дату (за исключением случая, предусмотренного </w:t>
      </w:r>
      <w:r>
        <w:fldChar w:fldCharType="begin"/>
      </w:r>
      <w:r>
        <w:instrText xml:space="preserve"> HYPERLINK \l "ЕГРН" </w:instrText>
      </w:r>
      <w:r>
        <w:fldChar w:fldCharType="separate"/>
      </w:r>
      <w:r>
        <w:rPr>
          <w:rStyle w:val="17"/>
          <w:rFonts w:ascii="Times New Roman" w:hAnsi="Times New Roman"/>
          <w:sz w:val="28"/>
        </w:rPr>
        <w:t xml:space="preserve">пунктом </w:t>
      </w:r>
      <w:r>
        <w:rPr>
          <w:rStyle w:val="17"/>
          <w:rFonts w:ascii="Times New Roman" w:hAnsi="Times New Roman"/>
          <w:sz w:val="28"/>
          <w:szCs w:val="28"/>
        </w:rPr>
        <w:t>124</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sz w:val="28"/>
        </w:rPr>
        <w:t>)</w:t>
      </w:r>
      <w:r>
        <w:rPr>
          <w:rFonts w:ascii="Times New Roman" w:hAnsi="Times New Roman"/>
          <w:sz w:val="28"/>
          <w:szCs w:val="28"/>
        </w:rPr>
        <w:t>.</w:t>
      </w:r>
    </w:p>
    <w:p w14:paraId="41A7FDA9">
      <w:pPr>
        <w:pStyle w:val="193"/>
        <w:numPr>
          <w:ilvl w:val="0"/>
          <w:numId w:val="1"/>
        </w:numPr>
        <w:ind w:left="0" w:firstLine="567"/>
        <w:rPr>
          <w:rFonts w:ascii="Times New Roman" w:hAnsi="Times New Roman"/>
          <w:sz w:val="28"/>
          <w:szCs w:val="28"/>
        </w:rPr>
      </w:pPr>
      <w:r>
        <w:rPr>
          <w:rFonts w:ascii="Times New Roman" w:hAnsi="Times New Roman"/>
          <w:sz w:val="28"/>
          <w:szCs w:val="28"/>
        </w:rPr>
        <w:t>В соответствии с пунктом 4 статьи 218 Гражданского кодекса Российской Федерации член жилищного, жилищно-строительного, дачного, гаражного или иного потребительского кооператива, другие лица, имеющие право на паенакопления, полностью внесшие свой паевой взнос за квартиру, дачу, гараж, иное помещение, предоставленное этим лицам кооперативом, приобретают право собственности на указанное имущество. В этой связи в данном подразделе также подлежит отражению информация об указанных объектах до их регистрации в Росреестре, если на отчетную дату у лица, в отношении которого представляется справка, имеется право собственности.</w:t>
      </w:r>
    </w:p>
    <w:p w14:paraId="64BB1D80">
      <w:pPr>
        <w:pStyle w:val="193"/>
        <w:numPr>
          <w:ilvl w:val="0"/>
          <w:numId w:val="1"/>
        </w:numPr>
        <w:ind w:left="0" w:firstLine="567"/>
        <w:rPr>
          <w:rFonts w:ascii="Times New Roman" w:hAnsi="Times New Roman"/>
          <w:sz w:val="28"/>
          <w:szCs w:val="28"/>
        </w:rPr>
      </w:pPr>
      <w:r>
        <w:rPr>
          <w:rFonts w:ascii="Times New Roman" w:hAnsi="Times New Roman"/>
          <w:sz w:val="28"/>
          <w:szCs w:val="28"/>
        </w:rPr>
        <w:t>Указанию также подлежит недвижимое имущество, полученное в порядке наследования (принято наследство и выдано свидетельство о праве на наследство) или по решению суда (вступило в законную силу), право собственности на которое не зарегистрировано в установленном порядке (не осуществлена регистрация в Росреестре).</w:t>
      </w:r>
    </w:p>
    <w:p w14:paraId="7967A0EC">
      <w:pPr>
        <w:pStyle w:val="193"/>
        <w:numPr>
          <w:ilvl w:val="0"/>
          <w:numId w:val="1"/>
        </w:numPr>
        <w:ind w:left="0" w:firstLine="567"/>
        <w:rPr>
          <w:rFonts w:ascii="Times New Roman" w:hAnsi="Times New Roman"/>
          <w:sz w:val="28"/>
          <w:szCs w:val="28"/>
        </w:rPr>
      </w:pPr>
      <w:r>
        <w:rPr>
          <w:rStyle w:val="191"/>
          <w:rFonts w:ascii="Times New Roman" w:hAnsi="Times New Roman" w:cs="Times New Roman"/>
          <w:color w:val="000000"/>
          <w:sz w:val="28"/>
          <w:szCs w:val="28"/>
        </w:rPr>
        <w:t>Каждый объект недвижимости, на который зарегистрировано право собственности, указывается отдельно (например, два земельных участка, расположенные рядом и объединенные одним забором, указываются в справке как два земельных участка, если на каждый участок есть отдельный документ о праве собственности и т.п.).</w:t>
      </w:r>
    </w:p>
    <w:p w14:paraId="17956D61">
      <w:pPr>
        <w:pStyle w:val="5"/>
      </w:pPr>
      <w:r>
        <w:t>Вид и наименование имущества</w:t>
      </w:r>
    </w:p>
    <w:p w14:paraId="5A91EE97">
      <w:pPr>
        <w:pStyle w:val="193"/>
        <w:numPr>
          <w:ilvl w:val="0"/>
          <w:numId w:val="1"/>
        </w:numPr>
        <w:ind w:left="0" w:firstLine="567"/>
        <w:rPr>
          <w:rFonts w:ascii="Times New Roman" w:hAnsi="Times New Roman"/>
          <w:sz w:val="28"/>
          <w:szCs w:val="28"/>
        </w:rPr>
      </w:pPr>
      <w:bookmarkStart w:id="50" w:name="Земельные"/>
      <w:r>
        <w:rPr>
          <w:rFonts w:ascii="Times New Roman" w:hAnsi="Times New Roman"/>
          <w:sz w:val="28"/>
          <w:szCs w:val="28"/>
        </w:rPr>
        <w:t xml:space="preserve">При указании сведений о </w:t>
      </w:r>
      <w:r>
        <w:rPr>
          <w:rFonts w:ascii="Times New Roman" w:hAnsi="Times New Roman"/>
          <w:b/>
          <w:sz w:val="28"/>
          <w:szCs w:val="28"/>
        </w:rPr>
        <w:t>земельных участках</w:t>
      </w:r>
      <w:r>
        <w:rPr>
          <w:rFonts w:ascii="Times New Roman" w:hAnsi="Times New Roman"/>
          <w:sz w:val="28"/>
          <w:szCs w:val="28"/>
        </w:rPr>
        <w:t xml:space="preserve"> указывается вид земельного участка (пая, доли): под индивидуальное гаражное, жилищное строительство, садовый, приусадебный, огородный и другие. При этом:</w:t>
      </w:r>
    </w:p>
    <w:p w14:paraId="2B7AF438">
      <w:pPr>
        <w:ind w:firstLine="567"/>
        <w:rPr>
          <w:rFonts w:ascii="Times New Roman" w:hAnsi="Times New Roman"/>
          <w:sz w:val="28"/>
          <w:szCs w:val="28"/>
        </w:rPr>
      </w:pPr>
      <w:r>
        <w:rPr>
          <w:rFonts w:ascii="Times New Roman" w:hAnsi="Times New Roman"/>
          <w:sz w:val="28"/>
          <w:szCs w:val="28"/>
        </w:rPr>
        <w:t xml:space="preserve">1) садовый земельный участок – </w:t>
      </w:r>
      <w:r>
        <w:rPr>
          <w:rFonts w:ascii="Times New Roman" w:hAnsi="Times New Roman"/>
          <w:sz w:val="28"/>
          <w:szCs w:val="28"/>
          <w:lang w:eastAsia="ru-RU"/>
        </w:rPr>
        <w:t>земельный участок, предназначенный для отдыха граждан и (или) выращивания гражданами для собственных нужд сельскохозяйственных культур, сельскохозяйственной птицы и (или) кроликов в случаях, предусмотренных Федеральным законом от 29 июля 2017 г. №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 с правом размещения садовых домов, жилых домов, хозяйственных построек и гаражей</w:t>
      </w:r>
      <w:r>
        <w:rPr>
          <w:rFonts w:ascii="Times New Roman" w:hAnsi="Times New Roman"/>
          <w:sz w:val="28"/>
          <w:szCs w:val="28"/>
        </w:rPr>
        <w:t>;</w:t>
      </w:r>
    </w:p>
    <w:p w14:paraId="26F7C842">
      <w:pPr>
        <w:ind w:firstLine="567"/>
        <w:rPr>
          <w:rFonts w:ascii="Times New Roman" w:hAnsi="Times New Roman"/>
          <w:sz w:val="28"/>
          <w:szCs w:val="28"/>
        </w:rPr>
      </w:pPr>
      <w:r>
        <w:rPr>
          <w:rFonts w:ascii="Times New Roman" w:hAnsi="Times New Roman"/>
          <w:sz w:val="28"/>
          <w:szCs w:val="28"/>
        </w:rPr>
        <w:t xml:space="preserve">2) огородный земельный участок – </w:t>
      </w:r>
      <w:r>
        <w:rPr>
          <w:rFonts w:ascii="Times New Roman" w:hAnsi="Times New Roman"/>
          <w:sz w:val="28"/>
          <w:szCs w:val="28"/>
          <w:lang w:eastAsia="ru-RU"/>
        </w:rPr>
        <w:t>земельный участок, предназначенный для отдыха граждан и (или) выращивания гражданами для собственных нужд сельскохозяйственных культур с правом размещения хозяйственных построек, не являющихся объектами капитального строительства, предназначенных для хранения инвентаря и урожая сельскохозяйственных культур.</w:t>
      </w:r>
    </w:p>
    <w:bookmarkEnd w:id="50"/>
    <w:p w14:paraId="0ACA637F">
      <w:pPr>
        <w:pStyle w:val="193"/>
        <w:numPr>
          <w:ilvl w:val="0"/>
          <w:numId w:val="1"/>
        </w:numPr>
        <w:ind w:left="0" w:firstLine="567"/>
        <w:rPr>
          <w:rFonts w:ascii="Times New Roman" w:hAnsi="Times New Roman"/>
          <w:sz w:val="28"/>
          <w:szCs w:val="28"/>
        </w:rPr>
      </w:pPr>
      <w:r>
        <w:rPr>
          <w:rFonts w:ascii="Times New Roman" w:hAnsi="Times New Roman"/>
          <w:sz w:val="28"/>
          <w:szCs w:val="28"/>
        </w:rPr>
        <w:t>В соответствии со статьей 2 Федерального закона от 7 июля 2003 г. № 112-ФЗ "О личном подсобном хозяйстве" под личным подсобным хозяйством понимается форма непредпринимательской деятельности по производству и переработке сельскохозяйственной продукции. При этом для ведения личного подсобного хозяйства могут использоваться земельный участок в границах населенного пункта (приусадебный земельный участок) и земельный участок за пределами границ населенного пункта (полевой земельный участок). Приусадебный земельный участок используется для производства сельскохозяйственной продукции, а также для возведения жилого дома, производственных, бытовых и иных зданий, строений, сооружений с соблюдением градостроительных регламентов, строительных, экологических, санитарно-гигиенических, противопожарных и иных правил и нормативов. Полевой земельный участок используется исключительно для производства сельскохозяйственной продукции без права возведения на нем зданий и строений.</w:t>
      </w:r>
    </w:p>
    <w:p w14:paraId="1157B89C">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Земельный участок под многоквартирным домом, а также под надземными или подземными гаражными комплексами, в том числе многоэтажными, не подлежит указанию. Одновременно не подлежит отражению информация о земельном участке в рамках гаражно-строительного и иных кооперативов в случае отсутствия прав собственности у лица, в отношении которого представляется справка. </w:t>
      </w:r>
    </w:p>
    <w:p w14:paraId="6D51F85C">
      <w:pPr>
        <w:pStyle w:val="193"/>
        <w:numPr>
          <w:ilvl w:val="0"/>
          <w:numId w:val="1"/>
        </w:numPr>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color w:val="000000"/>
          <w:sz w:val="28"/>
          <w:szCs w:val="28"/>
        </w:rPr>
        <w:t xml:space="preserve">При наличии в собственности </w:t>
      </w:r>
      <w:r>
        <w:rPr>
          <w:rStyle w:val="191"/>
          <w:rFonts w:ascii="Times New Roman" w:hAnsi="Times New Roman" w:cs="Times New Roman"/>
          <w:b/>
          <w:color w:val="000000"/>
          <w:sz w:val="28"/>
          <w:szCs w:val="28"/>
        </w:rPr>
        <w:t>жилого или садового дома,</w:t>
      </w:r>
      <w:r>
        <w:rPr>
          <w:rStyle w:val="191"/>
          <w:rFonts w:ascii="Times New Roman" w:hAnsi="Times New Roman" w:cs="Times New Roman"/>
          <w:color w:val="000000"/>
          <w:sz w:val="28"/>
          <w:szCs w:val="28"/>
        </w:rPr>
        <w:t xml:space="preserve"> которые указываются в пункте 2 данного раздела, должен быть указан соответствующий земельный участок, на котором он расположен (под индивидуальное жилищное строительство или садовый). Данный земельный участок </w:t>
      </w:r>
      <w:r>
        <w:rPr>
          <w:rFonts w:ascii="Times New Roman" w:hAnsi="Times New Roman"/>
          <w:sz w:val="28"/>
          <w:szCs w:val="28"/>
        </w:rPr>
        <w:t>в зависимости от наличия зарегистрированного права собственности подлежит указанию в подразделе 3.1 раздела 3 или подразделе 6.1 раздела 6 справки.</w:t>
      </w:r>
    </w:p>
    <w:p w14:paraId="7CB1CA65">
      <w:pPr>
        <w:pStyle w:val="193"/>
        <w:numPr>
          <w:ilvl w:val="0"/>
          <w:numId w:val="1"/>
        </w:numPr>
        <w:ind w:left="0" w:firstLine="567"/>
        <w:rPr>
          <w:rFonts w:ascii="Times New Roman" w:hAnsi="Times New Roman"/>
          <w:sz w:val="28"/>
          <w:szCs w:val="28"/>
        </w:rPr>
      </w:pPr>
      <w:r>
        <w:rPr>
          <w:rStyle w:val="191"/>
          <w:rFonts w:ascii="Times New Roman" w:hAnsi="Times New Roman" w:cs="Times New Roman"/>
          <w:color w:val="000000"/>
          <w:sz w:val="28"/>
          <w:szCs w:val="28"/>
        </w:rPr>
        <w:t>В строке "</w:t>
      </w:r>
      <w:r>
        <w:rPr>
          <w:rStyle w:val="191"/>
          <w:rFonts w:ascii="Times New Roman" w:hAnsi="Times New Roman" w:cs="Times New Roman"/>
          <w:b/>
          <w:color w:val="000000"/>
          <w:sz w:val="28"/>
          <w:szCs w:val="28"/>
        </w:rPr>
        <w:t>Гаражи</w:t>
      </w:r>
      <w:r>
        <w:rPr>
          <w:rStyle w:val="191"/>
          <w:rFonts w:ascii="Times New Roman" w:hAnsi="Times New Roman" w:cs="Times New Roman"/>
          <w:color w:val="000000"/>
          <w:sz w:val="28"/>
          <w:szCs w:val="28"/>
        </w:rPr>
        <w:t xml:space="preserve">" указывается информация об </w:t>
      </w:r>
      <w:r>
        <w:rPr>
          <w:rFonts w:ascii="Times New Roman" w:hAnsi="Times New Roman"/>
          <w:sz w:val="28"/>
          <w:szCs w:val="28"/>
        </w:rPr>
        <w:t>организованных местах хранения автотранспорта - "гараж", "м</w:t>
      </w:r>
      <w:r>
        <w:rPr>
          <w:rStyle w:val="191"/>
          <w:rFonts w:ascii="Times New Roman" w:hAnsi="Times New Roman" w:cs="Times New Roman"/>
          <w:color w:val="000000"/>
          <w:sz w:val="28"/>
          <w:szCs w:val="28"/>
        </w:rPr>
        <w:t xml:space="preserve">ашино-место" и другие на основании </w:t>
      </w:r>
      <w:r>
        <w:rPr>
          <w:rFonts w:ascii="Times New Roman" w:hAnsi="Times New Roman"/>
          <w:sz w:val="28"/>
          <w:szCs w:val="28"/>
        </w:rPr>
        <w:t>свидетельства о регистрации права собственности (иного правоустанавливающего документа).</w:t>
      </w:r>
      <w:r>
        <w:rPr>
          <w:rStyle w:val="191"/>
          <w:rFonts w:ascii="Times New Roman" w:hAnsi="Times New Roman" w:cs="Times New Roman"/>
          <w:sz w:val="28"/>
          <w:szCs w:val="28"/>
        </w:rPr>
        <w:t xml:space="preserve"> Земельный участок, на котором расположен гараж, являющийся обособленным строением, </w:t>
      </w:r>
      <w:r>
        <w:rPr>
          <w:rFonts w:ascii="Times New Roman" w:hAnsi="Times New Roman"/>
          <w:sz w:val="28"/>
          <w:szCs w:val="28"/>
        </w:rPr>
        <w:t>в зависимости от наличия зарегистрированного права собственности подлежит указанию в подразделе 3.1 раздела 3 или подразделе 6.1 раздела 6 справки.</w:t>
      </w:r>
    </w:p>
    <w:p w14:paraId="77A2D15B">
      <w:pPr>
        <w:pStyle w:val="5"/>
      </w:pPr>
      <w:r>
        <w:rPr>
          <w:rStyle w:val="191"/>
          <w:rFonts w:ascii="Times New Roman" w:hAnsi="Times New Roman" w:cs="Times New Roman"/>
          <w:color w:val="000000"/>
        </w:rPr>
        <w:t>Вид собственности</w:t>
      </w:r>
    </w:p>
    <w:p w14:paraId="4BAE70F6">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szCs w:val="28"/>
        </w:rPr>
        <w:t>"Вид собственности"</w:t>
      </w:r>
      <w:r>
        <w:rPr>
          <w:rFonts w:ascii="Times New Roman" w:hAnsi="Times New Roman"/>
          <w:sz w:val="28"/>
          <w:szCs w:val="28"/>
        </w:rPr>
        <w:t xml:space="preserve"> указывается вид собственности на имущество (индивидуальная, общая совместная, общая долевая). </w:t>
      </w:r>
    </w:p>
    <w:p w14:paraId="7E307956">
      <w:pPr>
        <w:pStyle w:val="193"/>
        <w:numPr>
          <w:ilvl w:val="0"/>
          <w:numId w:val="1"/>
        </w:numPr>
        <w:ind w:left="0" w:firstLine="567"/>
        <w:rPr>
          <w:rFonts w:ascii="Times New Roman" w:hAnsi="Times New Roman"/>
          <w:sz w:val="28"/>
          <w:szCs w:val="28"/>
        </w:rPr>
      </w:pPr>
      <w:r>
        <w:rPr>
          <w:rFonts w:ascii="Times New Roman" w:hAnsi="Times New Roman"/>
          <w:sz w:val="28"/>
          <w:szCs w:val="28"/>
        </w:rPr>
        <w:t>В соответствии с Гражданским кодексом Российской Федерации имущество принадлежит лицам на праве общей собственности, если находится в собственности двух или нескольких лиц. При этом имущество может находиться в общей собственности с определением доли каждого из собственников в праве собственности (долевая собственность) или без определения таких долей (совместная собственность).</w:t>
      </w:r>
    </w:p>
    <w:p w14:paraId="24ABCEA2">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При заполнении справки совместная собственность указывается в случае, если в правоустанавливающих документах на такое имущество указаны иные лица, в совместной собственности которых находится имущество. При указании совместной собственности дополнительно указываются в графе </w:t>
      </w:r>
      <w:r>
        <w:rPr>
          <w:rFonts w:ascii="Times New Roman" w:hAnsi="Times New Roman"/>
          <w:b/>
          <w:sz w:val="28"/>
        </w:rPr>
        <w:t>"Вид собственности"</w:t>
      </w:r>
      <w:r>
        <w:rPr>
          <w:rFonts w:ascii="Times New Roman" w:hAnsi="Times New Roman"/>
          <w:sz w:val="28"/>
          <w:szCs w:val="28"/>
        </w:rPr>
        <w:t xml:space="preserve"> иные лица, в собственности которых находится имущество (фамилия, имя и отчество физического лица или наименование организации). Для долевой собственности дополнительно указывается доля лица, сведения об имуществе которого представляются. </w:t>
      </w:r>
    </w:p>
    <w:p w14:paraId="17720E84">
      <w:pPr>
        <w:pStyle w:val="5"/>
      </w:pPr>
      <w:r>
        <w:t>Местонахождение (адрес)</w:t>
      </w:r>
    </w:p>
    <w:p w14:paraId="6E22D006">
      <w:pPr>
        <w:pStyle w:val="193"/>
        <w:numPr>
          <w:ilvl w:val="0"/>
          <w:numId w:val="1"/>
        </w:numPr>
        <w:ind w:left="0" w:firstLine="567"/>
        <w:rPr>
          <w:rFonts w:ascii="Times New Roman" w:hAnsi="Times New Roman"/>
          <w:sz w:val="28"/>
          <w:szCs w:val="28"/>
        </w:rPr>
      </w:pPr>
      <w:bookmarkStart w:id="51" w:name="Адрес"/>
      <w:r>
        <w:rPr>
          <w:rFonts w:ascii="Times New Roman" w:hAnsi="Times New Roman"/>
          <w:b/>
          <w:sz w:val="28"/>
          <w:szCs w:val="28"/>
        </w:rPr>
        <w:t>Местонахождение (адрес)</w:t>
      </w:r>
      <w:r>
        <w:rPr>
          <w:rFonts w:ascii="Times New Roman" w:hAnsi="Times New Roman"/>
          <w:sz w:val="28"/>
          <w:szCs w:val="28"/>
        </w:rPr>
        <w:t xml:space="preserve"> недвижимого имущества указывается согласно правоустанавливающим документам. При этом указывается:</w:t>
      </w:r>
    </w:p>
    <w:p w14:paraId="489378B4">
      <w:pPr>
        <w:ind w:firstLine="567"/>
        <w:rPr>
          <w:rFonts w:ascii="Times New Roman" w:hAnsi="Times New Roman"/>
          <w:sz w:val="28"/>
          <w:szCs w:val="28"/>
        </w:rPr>
      </w:pPr>
      <w:r>
        <w:rPr>
          <w:rFonts w:ascii="Times New Roman" w:hAnsi="Times New Roman"/>
          <w:sz w:val="28"/>
          <w:szCs w:val="28"/>
        </w:rPr>
        <w:t>1) субъект Российской Федерации;</w:t>
      </w:r>
    </w:p>
    <w:p w14:paraId="5C8A7B6A">
      <w:pPr>
        <w:ind w:firstLine="567"/>
        <w:rPr>
          <w:rFonts w:ascii="Times New Roman" w:hAnsi="Times New Roman"/>
          <w:sz w:val="28"/>
          <w:szCs w:val="28"/>
        </w:rPr>
      </w:pPr>
      <w:r>
        <w:rPr>
          <w:rFonts w:ascii="Times New Roman" w:hAnsi="Times New Roman"/>
          <w:sz w:val="28"/>
          <w:szCs w:val="28"/>
        </w:rPr>
        <w:t>2) район;</w:t>
      </w:r>
    </w:p>
    <w:p w14:paraId="47AD6C2C">
      <w:pPr>
        <w:ind w:firstLine="567"/>
        <w:rPr>
          <w:rFonts w:ascii="Times New Roman" w:hAnsi="Times New Roman"/>
          <w:sz w:val="28"/>
          <w:szCs w:val="28"/>
        </w:rPr>
      </w:pPr>
      <w:r>
        <w:rPr>
          <w:rFonts w:ascii="Times New Roman" w:hAnsi="Times New Roman"/>
          <w:sz w:val="28"/>
          <w:szCs w:val="28"/>
        </w:rPr>
        <w:t>3) город, иной населенный пункт (село, поселок и т.д.);</w:t>
      </w:r>
    </w:p>
    <w:p w14:paraId="631BA594">
      <w:pPr>
        <w:ind w:firstLine="567"/>
        <w:rPr>
          <w:rFonts w:ascii="Times New Roman" w:hAnsi="Times New Roman"/>
          <w:sz w:val="28"/>
          <w:szCs w:val="28"/>
        </w:rPr>
      </w:pPr>
      <w:r>
        <w:rPr>
          <w:rFonts w:ascii="Times New Roman" w:hAnsi="Times New Roman"/>
          <w:sz w:val="28"/>
          <w:szCs w:val="28"/>
        </w:rPr>
        <w:t>4) улица (проспект, переулок и т.д.);</w:t>
      </w:r>
    </w:p>
    <w:p w14:paraId="36AC178D">
      <w:pPr>
        <w:pStyle w:val="190"/>
        <w:ind w:firstLine="567"/>
        <w:rPr>
          <w:rFonts w:ascii="Times New Roman" w:hAnsi="Times New Roman" w:cs="Times New Roman"/>
          <w:sz w:val="28"/>
          <w:szCs w:val="28"/>
        </w:rPr>
      </w:pPr>
      <w:r>
        <w:rPr>
          <w:rFonts w:ascii="Times New Roman" w:hAnsi="Times New Roman" w:cs="Times New Roman"/>
          <w:sz w:val="28"/>
          <w:szCs w:val="28"/>
        </w:rPr>
        <w:t>5) номер дома (владения, участка), корпуса (строения), квартиры.</w:t>
      </w:r>
    </w:p>
    <w:p w14:paraId="03104E93">
      <w:pPr>
        <w:pStyle w:val="190"/>
        <w:ind w:firstLine="567"/>
        <w:rPr>
          <w:rFonts w:ascii="Times New Roman" w:hAnsi="Times New Roman" w:cs="Times New Roman"/>
          <w:sz w:val="28"/>
          <w:szCs w:val="28"/>
        </w:rPr>
      </w:pPr>
      <w:r>
        <w:rPr>
          <w:rFonts w:ascii="Times New Roman" w:hAnsi="Times New Roman" w:cs="Times New Roman"/>
          <w:sz w:val="28"/>
          <w:szCs w:val="28"/>
        </w:rPr>
        <w:t>Также рекомендуется указывать индекс.</w:t>
      </w:r>
    </w:p>
    <w:p w14:paraId="23A3026B">
      <w:pPr>
        <w:pStyle w:val="193"/>
        <w:numPr>
          <w:ilvl w:val="0"/>
          <w:numId w:val="1"/>
        </w:numPr>
        <w:ind w:left="0" w:firstLine="567"/>
        <w:rPr>
          <w:rFonts w:ascii="Times New Roman" w:hAnsi="Times New Roman"/>
          <w:sz w:val="28"/>
          <w:szCs w:val="28"/>
        </w:rPr>
      </w:pPr>
      <w:r>
        <w:rPr>
          <w:rFonts w:ascii="Times New Roman" w:hAnsi="Times New Roman"/>
          <w:sz w:val="28"/>
          <w:szCs w:val="28"/>
        </w:rPr>
        <w:t>Если недвижимое имущество находится за рубежом, то указывается:</w:t>
      </w:r>
    </w:p>
    <w:p w14:paraId="3FA0925F">
      <w:pPr>
        <w:ind w:firstLine="567"/>
        <w:rPr>
          <w:rFonts w:ascii="Times New Roman" w:hAnsi="Times New Roman"/>
          <w:sz w:val="28"/>
          <w:szCs w:val="28"/>
        </w:rPr>
      </w:pPr>
      <w:r>
        <w:rPr>
          <w:rFonts w:ascii="Times New Roman" w:hAnsi="Times New Roman"/>
          <w:sz w:val="28"/>
          <w:szCs w:val="28"/>
        </w:rPr>
        <w:t>1) наименование государства;</w:t>
      </w:r>
    </w:p>
    <w:p w14:paraId="0E1C2CA4">
      <w:pPr>
        <w:ind w:firstLine="567"/>
        <w:rPr>
          <w:rFonts w:ascii="Times New Roman" w:hAnsi="Times New Roman"/>
          <w:sz w:val="28"/>
          <w:szCs w:val="28"/>
        </w:rPr>
      </w:pPr>
      <w:r>
        <w:rPr>
          <w:rFonts w:ascii="Times New Roman" w:hAnsi="Times New Roman"/>
          <w:sz w:val="28"/>
          <w:szCs w:val="28"/>
        </w:rPr>
        <w:t>2) населенный пункт (иная единица административно-территориального деления);</w:t>
      </w:r>
    </w:p>
    <w:p w14:paraId="69E95928">
      <w:pPr>
        <w:ind w:firstLine="567"/>
        <w:rPr>
          <w:rFonts w:ascii="Times New Roman" w:hAnsi="Times New Roman"/>
          <w:strike/>
          <w:sz w:val="28"/>
        </w:rPr>
      </w:pPr>
      <w:r>
        <w:rPr>
          <w:rFonts w:ascii="Times New Roman" w:hAnsi="Times New Roman"/>
          <w:sz w:val="28"/>
          <w:szCs w:val="28"/>
        </w:rPr>
        <w:t>3) почтовый адрес.</w:t>
      </w:r>
    </w:p>
    <w:p w14:paraId="65F230E9">
      <w:pPr>
        <w:pStyle w:val="5"/>
        <w:rPr>
          <w:strike/>
        </w:rPr>
      </w:pPr>
      <w:r>
        <w:t>Площадь</w:t>
      </w:r>
    </w:p>
    <w:bookmarkEnd w:id="51"/>
    <w:p w14:paraId="380E3B9C">
      <w:pPr>
        <w:pStyle w:val="193"/>
        <w:numPr>
          <w:ilvl w:val="0"/>
          <w:numId w:val="1"/>
        </w:numPr>
        <w:ind w:left="0" w:firstLine="567"/>
        <w:rPr>
          <w:rStyle w:val="191"/>
          <w:rFonts w:ascii="Times New Roman" w:hAnsi="Times New Roman" w:cs="Times New Roman"/>
          <w:color w:val="000000"/>
          <w:sz w:val="28"/>
          <w:szCs w:val="28"/>
        </w:rPr>
      </w:pPr>
      <w:bookmarkStart w:id="52" w:name="Площадь"/>
      <w:r>
        <w:rPr>
          <w:rFonts w:ascii="Times New Roman" w:hAnsi="Times New Roman"/>
          <w:b/>
          <w:sz w:val="28"/>
          <w:szCs w:val="28"/>
        </w:rPr>
        <w:t xml:space="preserve">Площадь </w:t>
      </w:r>
      <w:r>
        <w:rPr>
          <w:rFonts w:ascii="Times New Roman" w:hAnsi="Times New Roman"/>
          <w:sz w:val="28"/>
          <w:szCs w:val="28"/>
        </w:rPr>
        <w:t>объекта недвижимого имущества указывается на основании правоустанавливающих документов. Е</w:t>
      </w:r>
      <w:r>
        <w:rPr>
          <w:rStyle w:val="191"/>
          <w:rFonts w:ascii="Times New Roman" w:hAnsi="Times New Roman" w:cs="Times New Roman"/>
          <w:color w:val="000000"/>
          <w:sz w:val="28"/>
          <w:szCs w:val="28"/>
        </w:rPr>
        <w:t>сли недвижимое имущество принадлежит служащему (работнику) на праве совместной собственности (без определения долей) или долевой собственности, указывается общая площадь данного объекта, а не площадь доли.</w:t>
      </w:r>
    </w:p>
    <w:bookmarkEnd w:id="52"/>
    <w:p w14:paraId="15118E9D">
      <w:pPr>
        <w:pStyle w:val="193"/>
        <w:numPr>
          <w:ilvl w:val="0"/>
          <w:numId w:val="1"/>
        </w:numPr>
        <w:ind w:left="0" w:firstLine="567"/>
        <w:rPr>
          <w:rStyle w:val="191"/>
          <w:rFonts w:ascii="Times New Roman" w:hAnsi="Times New Roman" w:cs="Times New Roman"/>
          <w:color w:val="000000"/>
          <w:sz w:val="28"/>
          <w:szCs w:val="28"/>
        </w:rPr>
      </w:pPr>
      <w:r>
        <w:rPr>
          <w:rFonts w:ascii="Times New Roman" w:hAnsi="Times New Roman"/>
          <w:sz w:val="28"/>
          <w:szCs w:val="28"/>
        </w:rPr>
        <w:t>Информация о недвижимом имуществе, принадлежащем на праве общей долевой собственности в многоквартирном доме (например, межквартирные лестничные площадки, лестницы, лифты, лифтовые и иные шахты, коридоры, технические этажи, чердаки, подвалы и др.), не подлежит указанию в справке. Также не подлежит отражению информация об имуществе общего пользования и земельных участках общего назначения, определенных в Федеральном законе от 29 июля 2017 г. №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w:t>
      </w:r>
    </w:p>
    <w:p w14:paraId="5D98E6B0">
      <w:pPr>
        <w:pStyle w:val="5"/>
        <w:rPr>
          <w:b w:val="0"/>
        </w:rPr>
      </w:pPr>
      <w:r>
        <w:t>Основание приобретения и источники средств</w:t>
      </w:r>
    </w:p>
    <w:p w14:paraId="4DD6DCFB">
      <w:pPr>
        <w:pStyle w:val="193"/>
        <w:numPr>
          <w:ilvl w:val="0"/>
          <w:numId w:val="1"/>
        </w:numPr>
        <w:ind w:left="0" w:firstLine="567"/>
        <w:rPr>
          <w:rFonts w:ascii="Times New Roman" w:hAnsi="Times New Roman"/>
          <w:sz w:val="28"/>
          <w:szCs w:val="28"/>
        </w:rPr>
      </w:pPr>
      <w:r>
        <w:rPr>
          <w:rFonts w:ascii="Times New Roman" w:hAnsi="Times New Roman"/>
          <w:sz w:val="28"/>
          <w:szCs w:val="28"/>
        </w:rPr>
        <w:t>По общему правилу, предусмотренному пунктом 2 статьи 223 Гражданского кодекса Российской Федерации, в случаях, когда отчуждение имущества подлежит государственной регистрации (например, квартиры), право собственности у приобретателя возникает с момента такой регистрации, если иное не установлено законом. Так, например, если осуществлена передача объекта долевого строительства, но на отчетную дату такой объект не зарегистрирован в установленном порядке, то правовые основания для его отражения в настоящем подразделе раздела 3 справки отсутствуют. Вместе с тем такой объект подлежит указанию в подразделе 6.1 раздела 6 справки (аналогично в случае ввода объекта в эксплуатацию).</w:t>
      </w:r>
    </w:p>
    <w:p w14:paraId="46E86A5E">
      <w:pPr>
        <w:pStyle w:val="193"/>
        <w:ind w:left="0" w:firstLine="567"/>
        <w:rPr>
          <w:rFonts w:ascii="Times New Roman" w:hAnsi="Times New Roman"/>
          <w:sz w:val="28"/>
          <w:szCs w:val="28"/>
        </w:rPr>
      </w:pPr>
      <w:r>
        <w:rPr>
          <w:rFonts w:ascii="Times New Roman" w:hAnsi="Times New Roman"/>
          <w:sz w:val="28"/>
          <w:szCs w:val="28"/>
        </w:rPr>
        <w:t xml:space="preserve">Для каждого объекта недвижимого имущества указываются реквизиты (серия, номер и дата выдачи) свидетельства о государственной регистрации права на недвижимое имущество </w:t>
      </w:r>
      <w:r>
        <w:rPr>
          <w:rFonts w:ascii="Times New Roman" w:hAnsi="Times New Roman"/>
          <w:b/>
          <w:sz w:val="28"/>
          <w:szCs w:val="28"/>
        </w:rPr>
        <w:t>или</w:t>
      </w:r>
      <w:r>
        <w:rPr>
          <w:rFonts w:ascii="Times New Roman" w:hAnsi="Times New Roman"/>
          <w:sz w:val="28"/>
          <w:szCs w:val="28"/>
        </w:rPr>
        <w:t xml:space="preserve"> номер и дата государственной регистрации права из выписки Единого государственного реестра недвижимости (ЕГРН). Указанные сведения по объекту недвижимости могут быть получены через интернет-сайт Росреестра (</w:t>
      </w:r>
      <w:r>
        <w:fldChar w:fldCharType="begin"/>
      </w:r>
      <w:r>
        <w:instrText xml:space="preserve"> HYPERLINK "https://lk.rosreestr.ru/eservices/real-estate-objects-online" \o "https://lk.rosreestr.ru/eservices/real-estate-objects-online" </w:instrText>
      </w:r>
      <w:r>
        <w:fldChar w:fldCharType="separate"/>
      </w:r>
      <w:r>
        <w:rPr>
          <w:rStyle w:val="17"/>
          <w:rFonts w:ascii="Times New Roman" w:hAnsi="Times New Roman"/>
          <w:sz w:val="28"/>
          <w:szCs w:val="28"/>
        </w:rPr>
        <w:t>https://lk.rosreestr.ru/eservices/real-estate-objects-online</w:t>
      </w:r>
      <w:r>
        <w:rPr>
          <w:rStyle w:val="17"/>
          <w:rFonts w:ascii="Times New Roman" w:hAnsi="Times New Roman"/>
          <w:sz w:val="28"/>
          <w:szCs w:val="28"/>
        </w:rPr>
        <w:fldChar w:fldCharType="end"/>
      </w:r>
      <w:r>
        <w:rPr>
          <w:rFonts w:ascii="Times New Roman" w:hAnsi="Times New Roman"/>
          <w:sz w:val="28"/>
          <w:szCs w:val="28"/>
        </w:rPr>
        <w:t>).</w:t>
      </w:r>
    </w:p>
    <w:p w14:paraId="5D45622D">
      <w:pPr>
        <w:pStyle w:val="193"/>
        <w:ind w:left="0" w:firstLine="567"/>
        <w:rPr>
          <w:rFonts w:ascii="Times New Roman" w:hAnsi="Times New Roman"/>
          <w:sz w:val="28"/>
          <w:szCs w:val="28"/>
        </w:rPr>
      </w:pPr>
      <w:r>
        <w:rPr>
          <w:rFonts w:ascii="Times New Roman" w:hAnsi="Times New Roman"/>
          <w:sz w:val="28"/>
          <w:szCs w:val="28"/>
        </w:rPr>
        <w:t>Также указываются наименование и реквизиты документа, являющегося основанием для приобретения права собственности на недвижимое имущество (договор купли-продажи, договор мены, договор дарения, свидетельство о праве на наследство, решение суда и др.).</w:t>
      </w:r>
    </w:p>
    <w:p w14:paraId="49D443DF">
      <w:pPr>
        <w:pStyle w:val="193"/>
        <w:ind w:left="0" w:firstLine="567"/>
        <w:rPr>
          <w:rFonts w:ascii="Times New Roman" w:hAnsi="Times New Roman"/>
          <w:sz w:val="28"/>
          <w:szCs w:val="28"/>
        </w:rPr>
      </w:pPr>
      <w:r>
        <w:rPr>
          <w:rFonts w:ascii="Times New Roman" w:hAnsi="Times New Roman"/>
          <w:sz w:val="28"/>
          <w:szCs w:val="28"/>
        </w:rPr>
        <w:t>При этом не допускается объединение нескольких долей одного объекта имущества в качестве единого (каждая доля отражается отдельной строкой в соответствии с правоустанавливающим документом).</w:t>
      </w:r>
    </w:p>
    <w:p w14:paraId="6F3C8E96">
      <w:pPr>
        <w:pStyle w:val="193"/>
        <w:numPr>
          <w:ilvl w:val="0"/>
          <w:numId w:val="1"/>
        </w:numPr>
        <w:ind w:left="0" w:firstLine="567"/>
        <w:rPr>
          <w:rFonts w:ascii="Times New Roman" w:hAnsi="Times New Roman"/>
          <w:sz w:val="28"/>
          <w:szCs w:val="28"/>
        </w:rPr>
      </w:pPr>
      <w:bookmarkStart w:id="53" w:name="ЕГРН"/>
      <w:r>
        <w:rPr>
          <w:rFonts w:ascii="Times New Roman" w:hAnsi="Times New Roman"/>
          <w:sz w:val="28"/>
          <w:szCs w:val="28"/>
        </w:rPr>
        <w:t xml:space="preserve">В случае если право на недвижимое имущество возникло до вступления в силу Федерального закона от 21 июля 1997 г. № 122-ФЗ "О государственной регистрации прав на недвижимое имущество и сделок с ним", свидетельство о государственной регистрации прав на недвижимое имущество и/или запись в ЕГРН в установленном данным Федеральным законом порядке не оформлены, то указываются имеющиеся правоустанавливающие документы, подтверждающие основание приобретения права собственности (например, постановление Исполкома города </w:t>
      </w:r>
      <w:r>
        <w:rPr>
          <w:rFonts w:ascii="Times New Roman" w:hAnsi="Times New Roman"/>
          <w:sz w:val="28"/>
          <w:szCs w:val="28"/>
          <w:lang w:val="en-US"/>
        </w:rPr>
        <w:t>N</w:t>
      </w:r>
      <w:r>
        <w:rPr>
          <w:rFonts w:ascii="Times New Roman" w:hAnsi="Times New Roman"/>
          <w:sz w:val="28"/>
          <w:szCs w:val="28"/>
        </w:rPr>
        <w:t xml:space="preserve"> от 15.03.1995 г. № 1-345/95 о передаче недвижимого имущества в собственность и др.).</w:t>
      </w:r>
    </w:p>
    <w:bookmarkEnd w:id="53"/>
    <w:p w14:paraId="013702C3">
      <w:pPr>
        <w:pStyle w:val="193"/>
        <w:numPr>
          <w:ilvl w:val="0"/>
          <w:numId w:val="1"/>
        </w:numPr>
        <w:ind w:left="0" w:firstLine="567"/>
        <w:rPr>
          <w:rFonts w:ascii="Times New Roman" w:hAnsi="Times New Roman"/>
          <w:sz w:val="28"/>
          <w:szCs w:val="28"/>
        </w:rPr>
      </w:pPr>
      <w:r>
        <w:rPr>
          <w:rFonts w:ascii="Times New Roman" w:hAnsi="Times New Roman"/>
          <w:sz w:val="28"/>
          <w:szCs w:val="28"/>
        </w:rPr>
        <w:t>Необходимо указывать правильное, официальное наименование документов с соответствующими реквизитами, например: Свидетельство о государственной регистрации права 50 НДN 776723 от 17 марта 2010 г.; Запись в ЕГРН № 77:02:0014017:1994-72/004/2025-2 от 27 марта 2025 г.; договор купли-продажи от 19 февраля 2025 г. или иное.</w:t>
      </w:r>
    </w:p>
    <w:p w14:paraId="227384B5">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Обязанность сообщать сведения об источнике средств, за счет которых приобретено недвижимое имущество, распространяется только в отношении имущества, находящегося </w:t>
      </w:r>
      <w:r>
        <w:rPr>
          <w:rFonts w:ascii="Times New Roman" w:hAnsi="Times New Roman"/>
          <w:b/>
          <w:sz w:val="28"/>
          <w:szCs w:val="28"/>
        </w:rPr>
        <w:t>исключительно</w:t>
      </w:r>
      <w:r>
        <w:rPr>
          <w:rFonts w:ascii="Times New Roman" w:hAnsi="Times New Roman"/>
          <w:sz w:val="28"/>
          <w:szCs w:val="28"/>
        </w:rPr>
        <w:t xml:space="preserve"> за пределами территории Российской Федерации.</w:t>
      </w:r>
    </w:p>
    <w:p w14:paraId="7C9EBC13">
      <w:pPr>
        <w:pStyle w:val="193"/>
        <w:ind w:left="0" w:firstLine="567"/>
        <w:rPr>
          <w:rFonts w:ascii="Times New Roman" w:hAnsi="Times New Roman"/>
          <w:sz w:val="28"/>
          <w:szCs w:val="28"/>
        </w:rPr>
      </w:pPr>
      <w:r>
        <w:rPr>
          <w:rFonts w:ascii="Times New Roman" w:hAnsi="Times New Roman"/>
          <w:sz w:val="28"/>
          <w:szCs w:val="28"/>
        </w:rPr>
        <w:t>Сведения об источнике средств, за счет которых приобретено недвижимое имущество, находящееся в пределах территории Российской Федерации, в настоящем подразделе раздела 3 справки не указываются.</w:t>
      </w:r>
    </w:p>
    <w:p w14:paraId="3671A677">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Обязанность сообщать сведения об </w:t>
      </w:r>
      <w:r>
        <w:rPr>
          <w:rFonts w:ascii="Times New Roman" w:hAnsi="Times New Roman"/>
          <w:b/>
          <w:sz w:val="28"/>
          <w:szCs w:val="28"/>
        </w:rPr>
        <w:t>источнике средств</w:t>
      </w:r>
      <w:r>
        <w:rPr>
          <w:rFonts w:ascii="Times New Roman" w:hAnsi="Times New Roman"/>
          <w:sz w:val="28"/>
          <w:szCs w:val="28"/>
        </w:rPr>
        <w:t xml:space="preserve">, за счет которых приобретено имущество, находящееся за пределами территории Российской Федерации, распространяется </w:t>
      </w:r>
      <w:r>
        <w:rPr>
          <w:rFonts w:ascii="Times New Roman" w:hAnsi="Times New Roman"/>
          <w:b/>
          <w:sz w:val="28"/>
          <w:szCs w:val="28"/>
        </w:rPr>
        <w:t>только</w:t>
      </w:r>
      <w:r>
        <w:rPr>
          <w:rFonts w:ascii="Times New Roman" w:hAnsi="Times New Roman"/>
          <w:sz w:val="28"/>
          <w:szCs w:val="28"/>
        </w:rPr>
        <w:t xml:space="preserve"> на лиц, указанных в части 1 статьи 2 Федерального закона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а именно: </w:t>
      </w:r>
    </w:p>
    <w:p w14:paraId="410C02D7">
      <w:pPr>
        <w:pStyle w:val="193"/>
        <w:ind w:left="0" w:firstLine="567"/>
        <w:rPr>
          <w:rFonts w:ascii="Times New Roman" w:hAnsi="Times New Roman"/>
          <w:sz w:val="28"/>
          <w:szCs w:val="28"/>
        </w:rPr>
      </w:pPr>
      <w:r>
        <w:rPr>
          <w:rFonts w:ascii="Times New Roman" w:hAnsi="Times New Roman"/>
          <w:sz w:val="28"/>
          <w:szCs w:val="28"/>
        </w:rPr>
        <w:t>1) на лиц, замещающих (занимающих):</w:t>
      </w:r>
    </w:p>
    <w:p w14:paraId="04D5CEB9">
      <w:pPr>
        <w:pStyle w:val="193"/>
        <w:ind w:left="0" w:firstLine="567"/>
        <w:rPr>
          <w:rFonts w:ascii="Times New Roman" w:hAnsi="Times New Roman"/>
          <w:sz w:val="28"/>
          <w:szCs w:val="28"/>
        </w:rPr>
      </w:pPr>
      <w:bookmarkStart w:id="54" w:name="Par1"/>
      <w:bookmarkEnd w:id="54"/>
      <w:bookmarkStart w:id="55" w:name="Должности"/>
      <w:r>
        <w:rPr>
          <w:rFonts w:ascii="Times New Roman" w:hAnsi="Times New Roman"/>
          <w:sz w:val="28"/>
          <w:szCs w:val="28"/>
        </w:rPr>
        <w:t>государственные должности Российской Федерации;</w:t>
      </w:r>
    </w:p>
    <w:p w14:paraId="19682FCE">
      <w:pPr>
        <w:pStyle w:val="193"/>
        <w:ind w:left="0" w:firstLine="567"/>
        <w:rPr>
          <w:rFonts w:ascii="Times New Roman" w:hAnsi="Times New Roman"/>
          <w:sz w:val="28"/>
          <w:szCs w:val="28"/>
        </w:rPr>
      </w:pPr>
      <w:r>
        <w:rPr>
          <w:rFonts w:ascii="Times New Roman" w:hAnsi="Times New Roman"/>
          <w:sz w:val="28"/>
          <w:szCs w:val="28"/>
        </w:rPr>
        <w:t>должности первого заместителя и заместителей Генерального прокурора Российской Федерации;</w:t>
      </w:r>
    </w:p>
    <w:p w14:paraId="4CFEA5D6">
      <w:pPr>
        <w:pStyle w:val="193"/>
        <w:ind w:left="0" w:firstLine="567"/>
        <w:rPr>
          <w:rFonts w:ascii="Times New Roman" w:hAnsi="Times New Roman"/>
          <w:sz w:val="28"/>
          <w:szCs w:val="28"/>
        </w:rPr>
      </w:pPr>
      <w:r>
        <w:rPr>
          <w:rFonts w:ascii="Times New Roman" w:hAnsi="Times New Roman"/>
          <w:sz w:val="28"/>
          <w:szCs w:val="28"/>
        </w:rPr>
        <w:t>должности членов Совета директоров Центрального банка Российской Федерации;</w:t>
      </w:r>
    </w:p>
    <w:p w14:paraId="602CDED4">
      <w:pPr>
        <w:pStyle w:val="193"/>
        <w:ind w:left="0" w:firstLine="567"/>
        <w:rPr>
          <w:rFonts w:ascii="Times New Roman" w:hAnsi="Times New Roman"/>
          <w:sz w:val="28"/>
          <w:szCs w:val="28"/>
        </w:rPr>
      </w:pPr>
      <w:r>
        <w:rPr>
          <w:rFonts w:ascii="Times New Roman" w:hAnsi="Times New Roman"/>
          <w:sz w:val="28"/>
          <w:szCs w:val="28"/>
        </w:rPr>
        <w:t>государственные должности субъектов Российской Федерации;</w:t>
      </w:r>
    </w:p>
    <w:p w14:paraId="346D4DEC">
      <w:pPr>
        <w:pStyle w:val="193"/>
        <w:ind w:left="0" w:firstLine="567"/>
        <w:rPr>
          <w:rFonts w:ascii="Times New Roman" w:hAnsi="Times New Roman"/>
          <w:sz w:val="28"/>
          <w:szCs w:val="28"/>
        </w:rPr>
      </w:pPr>
      <w:r>
        <w:rPr>
          <w:rFonts w:ascii="Times New Roman" w:hAnsi="Times New Roman"/>
          <w:sz w:val="28"/>
          <w:szCs w:val="28"/>
        </w:rPr>
        <w:t>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14:paraId="60532795">
      <w:pPr>
        <w:pStyle w:val="193"/>
        <w:ind w:left="0" w:firstLine="567"/>
        <w:rPr>
          <w:rFonts w:ascii="Times New Roman" w:hAnsi="Times New Roman"/>
          <w:sz w:val="28"/>
          <w:szCs w:val="28"/>
        </w:rPr>
      </w:pPr>
      <w:r>
        <w:rPr>
          <w:rFonts w:ascii="Times New Roman" w:hAnsi="Times New Roman"/>
          <w:sz w:val="28"/>
          <w:szCs w:val="28"/>
        </w:rPr>
        <w:t>должности заместителей руководителей федеральных органов исполнительной власти;</w:t>
      </w:r>
    </w:p>
    <w:p w14:paraId="71225897">
      <w:pPr>
        <w:pStyle w:val="193"/>
        <w:ind w:left="0" w:firstLine="567"/>
        <w:rPr>
          <w:rFonts w:ascii="Times New Roman" w:hAnsi="Times New Roman"/>
          <w:sz w:val="28"/>
          <w:szCs w:val="28"/>
        </w:rPr>
      </w:pPr>
      <w:r>
        <w:rPr>
          <w:rFonts w:ascii="Times New Roman" w:hAnsi="Times New Roman"/>
          <w:sz w:val="28"/>
          <w:szCs w:val="28"/>
        </w:rPr>
        <w:t>должности в государственных корпорациях (компаниях), государственных внебюджетных фондах Российской Федерации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14:paraId="4DAD9469">
      <w:pPr>
        <w:pStyle w:val="204"/>
        <w:ind w:firstLine="567"/>
        <w:jc w:val="both"/>
      </w:pPr>
      <w:bookmarkStart w:id="56" w:name="Par8"/>
      <w:bookmarkEnd w:id="56"/>
      <w:r>
        <w:t>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14:paraId="17236E38">
      <w:pPr>
        <w:pStyle w:val="204"/>
        <w:ind w:firstLine="567"/>
        <w:jc w:val="both"/>
      </w:pPr>
      <w:r>
        <w:t>депутатов представительных органов муниципальных районов, муниципальных округов и городских округов, осуществляющих свои полномочия на постоянной основе, депутатов, замещающих должности в представительных органах муниципальных районов и городских округов;</w:t>
      </w:r>
    </w:p>
    <w:p w14:paraId="4548074D">
      <w:pPr>
        <w:pStyle w:val="193"/>
        <w:ind w:left="0" w:firstLine="567"/>
        <w:rPr>
          <w:rFonts w:ascii="Times New Roman" w:hAnsi="Times New Roman"/>
          <w:sz w:val="28"/>
          <w:szCs w:val="28"/>
        </w:rPr>
      </w:pPr>
      <w:r>
        <w:rPr>
          <w:rFonts w:ascii="Times New Roman" w:hAnsi="Times New Roman"/>
          <w:sz w:val="28"/>
          <w:szCs w:val="28"/>
        </w:rPr>
        <w:t>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государственных внебюджетных фондах Российской Федерации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перечни, установленные соответственно нормативными правовыми актами федеральных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государственных внебюджетных фондов Российской Федерации и иных организаций, созданных Российской Федерацией на основании федеральных законов (на супруг (супругов) и несовершеннолетних детей лиц, указанных в данном подпункте, вышеуказанный запрет не распространяется);</w:t>
      </w:r>
    </w:p>
    <w:bookmarkEnd w:id="55"/>
    <w:p w14:paraId="774CEE36">
      <w:pPr>
        <w:pStyle w:val="193"/>
        <w:ind w:left="0" w:firstLine="567"/>
        <w:rPr>
          <w:rFonts w:ascii="Times New Roman" w:hAnsi="Times New Roman"/>
          <w:sz w:val="28"/>
          <w:szCs w:val="28"/>
        </w:rPr>
      </w:pPr>
      <w:r>
        <w:rPr>
          <w:rFonts w:ascii="Times New Roman" w:hAnsi="Times New Roman"/>
          <w:sz w:val="28"/>
          <w:szCs w:val="28"/>
        </w:rPr>
        <w:t xml:space="preserve">2) на супруг (супругов), несовершеннолетних детей лиц, указанных </w:t>
      </w:r>
      <w:r>
        <w:rPr>
          <w:rFonts w:ascii="Times New Roman" w:hAnsi="Times New Roman"/>
          <w:sz w:val="28"/>
        </w:rPr>
        <w:t xml:space="preserve">в </w:t>
      </w:r>
      <w:r>
        <w:fldChar w:fldCharType="begin"/>
      </w:r>
      <w:r>
        <w:instrText xml:space="preserve"> HYPERLINK \l "Должности" </w:instrText>
      </w:r>
      <w:r>
        <w:fldChar w:fldCharType="separate"/>
      </w:r>
      <w:r>
        <w:rPr>
          <w:rStyle w:val="17"/>
          <w:rFonts w:ascii="Times New Roman" w:hAnsi="Times New Roman"/>
          <w:sz w:val="28"/>
          <w:szCs w:val="28"/>
        </w:rPr>
        <w:t>абзацах втором-десятом подпункта 1 настоящего пункта</w:t>
      </w:r>
      <w:r>
        <w:rPr>
          <w:rStyle w:val="17"/>
          <w:rFonts w:ascii="Times New Roman" w:hAnsi="Times New Roman"/>
          <w:sz w:val="28"/>
          <w:szCs w:val="28"/>
        </w:rPr>
        <w:fldChar w:fldCharType="end"/>
      </w:r>
      <w:r>
        <w:rPr>
          <w:rFonts w:ascii="Times New Roman" w:hAnsi="Times New Roman"/>
          <w:sz w:val="28"/>
          <w:szCs w:val="28"/>
        </w:rPr>
        <w:t>;</w:t>
      </w:r>
    </w:p>
    <w:p w14:paraId="5D5B7444">
      <w:pPr>
        <w:pStyle w:val="193"/>
        <w:ind w:left="0" w:firstLine="567"/>
        <w:rPr>
          <w:rFonts w:ascii="Times New Roman" w:hAnsi="Times New Roman"/>
          <w:sz w:val="28"/>
          <w:szCs w:val="28"/>
        </w:rPr>
      </w:pPr>
      <w:r>
        <w:rPr>
          <w:rFonts w:ascii="Times New Roman" w:hAnsi="Times New Roman"/>
          <w:sz w:val="28"/>
          <w:szCs w:val="28"/>
        </w:rPr>
        <w:t>3) иных лиц в случаях, предусмотренных федеральными законами.</w:t>
      </w:r>
    </w:p>
    <w:p w14:paraId="63BF0F56">
      <w:pPr>
        <w:pStyle w:val="193"/>
        <w:numPr>
          <w:ilvl w:val="0"/>
          <w:numId w:val="1"/>
        </w:numPr>
        <w:ind w:left="0" w:firstLine="709"/>
        <w:rPr>
          <w:rFonts w:ascii="Times New Roman" w:hAnsi="Times New Roman"/>
          <w:sz w:val="28"/>
          <w:szCs w:val="28"/>
        </w:rPr>
      </w:pPr>
      <w:r>
        <w:rPr>
          <w:rFonts w:ascii="Times New Roman" w:hAnsi="Times New Roman"/>
          <w:sz w:val="28"/>
          <w:szCs w:val="28"/>
        </w:rPr>
        <w:t>Находящееся в собственности недвижимое имущество, расположенное на территории Донецкой Народной Республики, Луганской Народной Республики, Запорожской области или Херсонской области, указывается в соответствии с документами, являющимися основанием для государственной регистрации прав на недвижимое имущество, подтверждающими возникновение, изменение, ограничение, переход или прекращение прав на такое имущество, обременение такого имущества, выданные соответствующими органами публичной власти с учетом положений федеральных конституционных законов (статьи 12 федеральных конституционных законов от 4 октября 2022 г. № 5-ФКЗ "О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 от 4 октября 2022 г. № 6-ФКЗ "О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 от 4 октября 2022 г. № 7-ФКЗ "О принятии в Российскую Федерацию Запорожской области и образовании в составе Российской Федерации нового субъекта - Запорожской области", от 4 октября 2022 г. № 8-ФКЗ "О принятии в Российскую Федерацию Херсонской области и образовании в составе Российской Федерации нового субъекта - Херсонской области").</w:t>
      </w:r>
    </w:p>
    <w:p w14:paraId="33BC54B9">
      <w:pPr>
        <w:pStyle w:val="193"/>
        <w:ind w:left="0" w:firstLine="567"/>
        <w:outlineLvl w:val="2"/>
        <w:rPr>
          <w:rFonts w:ascii="Times New Roman" w:hAnsi="Times New Roman"/>
          <w:b/>
          <w:sz w:val="28"/>
          <w:szCs w:val="28"/>
        </w:rPr>
      </w:pPr>
      <w:bookmarkStart w:id="57" w:name="_Toc225936084"/>
      <w:r>
        <w:rPr>
          <w:rFonts w:ascii="Times New Roman" w:hAnsi="Times New Roman"/>
          <w:b/>
          <w:sz w:val="28"/>
          <w:szCs w:val="28"/>
        </w:rPr>
        <w:t>Подраздел 3.2. Транспортные средства</w:t>
      </w:r>
      <w:bookmarkEnd w:id="57"/>
    </w:p>
    <w:p w14:paraId="5B0B080F">
      <w:pPr>
        <w:pStyle w:val="193"/>
        <w:numPr>
          <w:ilvl w:val="0"/>
          <w:numId w:val="1"/>
        </w:numPr>
        <w:ind w:left="0" w:firstLine="567"/>
        <w:rPr>
          <w:rFonts w:ascii="Times New Roman" w:hAnsi="Times New Roman"/>
          <w:sz w:val="28"/>
          <w:szCs w:val="28"/>
        </w:rPr>
      </w:pPr>
      <w:r>
        <w:rPr>
          <w:rFonts w:ascii="Times New Roman" w:hAnsi="Times New Roman"/>
          <w:color w:val="000000"/>
          <w:sz w:val="28"/>
          <w:szCs w:val="28"/>
        </w:rPr>
        <w:t xml:space="preserve">В данном подразделе указываются сведения о транспортных средствах, находящихся в собственности, независимо от того, когда они были приобретены, в каком регионе Российской Федерации или в каком государстве зарегистрированы. Транспортные средства, </w:t>
      </w:r>
      <w:r>
        <w:rPr>
          <w:rFonts w:ascii="Times New Roman" w:hAnsi="Times New Roman"/>
          <w:sz w:val="28"/>
          <w:szCs w:val="28"/>
        </w:rPr>
        <w:t>переданные в пользование по доверенности,</w:t>
      </w:r>
      <w:r>
        <w:rPr>
          <w:rFonts w:ascii="Times New Roman" w:hAnsi="Times New Roman"/>
          <w:color w:val="000000"/>
          <w:sz w:val="28"/>
          <w:szCs w:val="28"/>
        </w:rPr>
        <w:t xml:space="preserve"> находящиеся в угоне, в залоге у банка, полностью негодные к </w:t>
      </w:r>
      <w:r>
        <w:rPr>
          <w:rFonts w:ascii="Times New Roman" w:hAnsi="Times New Roman"/>
          <w:sz w:val="28"/>
          <w:szCs w:val="28"/>
        </w:rPr>
        <w:t xml:space="preserve">эксплуатации, снятые с регистрационного учета и т.д., собственником которых является служащий (работник), его супруга (супруг), несовершеннолетний ребенок, также подлежат указанию в справке. </w:t>
      </w:r>
    </w:p>
    <w:p w14:paraId="514112E5">
      <w:pPr>
        <w:pStyle w:val="193"/>
        <w:ind w:left="0" w:firstLine="567"/>
        <w:rPr>
          <w:rFonts w:ascii="Times New Roman" w:hAnsi="Times New Roman"/>
          <w:sz w:val="28"/>
          <w:szCs w:val="28"/>
        </w:rPr>
      </w:pPr>
      <w:r>
        <w:rPr>
          <w:rFonts w:ascii="Times New Roman" w:hAnsi="Times New Roman"/>
          <w:sz w:val="28"/>
          <w:szCs w:val="28"/>
        </w:rPr>
        <w:t xml:space="preserve">Также в данном подразделе подлежат отражению транспортные средства, принадлежащие на праве собственности </w:t>
      </w:r>
      <w:r>
        <w:rPr>
          <w:rFonts w:ascii="Times New Roman" w:hAnsi="Times New Roman"/>
          <w:sz w:val="28"/>
          <w:szCs w:val="28"/>
          <w:shd w:val="clear" w:color="auto" w:fill="FFFFFF"/>
        </w:rPr>
        <w:t>гражданину, зарегистрированному в качестве индивидуального предпринимателя</w:t>
      </w:r>
      <w:r>
        <w:rPr>
          <w:rFonts w:ascii="Times New Roman" w:hAnsi="Times New Roman"/>
          <w:sz w:val="28"/>
          <w:szCs w:val="28"/>
        </w:rPr>
        <w:t>.</w:t>
      </w:r>
    </w:p>
    <w:p w14:paraId="3BDB1876">
      <w:pPr>
        <w:pStyle w:val="193"/>
        <w:ind w:left="0" w:firstLine="567"/>
        <w:rPr>
          <w:rFonts w:ascii="Times New Roman" w:hAnsi="Times New Roman"/>
          <w:sz w:val="28"/>
          <w:szCs w:val="28"/>
        </w:rPr>
      </w:pPr>
      <w:r>
        <w:rPr>
          <w:rFonts w:ascii="Times New Roman" w:hAnsi="Times New Roman"/>
          <w:sz w:val="28"/>
          <w:szCs w:val="28"/>
        </w:rPr>
        <w:t>Вид, марка, модель транспортного средства, год изготовления заполняются согласно официальным документам (например, согласно паспорту транспортного средства или свидетельству о регистрации транспортного средства).</w:t>
      </w:r>
    </w:p>
    <w:p w14:paraId="487EC72A">
      <w:pPr>
        <w:pStyle w:val="193"/>
        <w:numPr>
          <w:ilvl w:val="0"/>
          <w:numId w:val="1"/>
        </w:numPr>
        <w:ind w:left="0" w:firstLine="709"/>
        <w:rPr>
          <w:rFonts w:ascii="Times New Roman" w:hAnsi="Times New Roman"/>
          <w:sz w:val="28"/>
          <w:szCs w:val="28"/>
        </w:rPr>
      </w:pPr>
      <w:r>
        <w:rPr>
          <w:rFonts w:ascii="Times New Roman" w:hAnsi="Times New Roman"/>
          <w:sz w:val="28"/>
          <w:szCs w:val="28"/>
        </w:rPr>
        <w:t>Изменение регистрационных данных о собственнике по совершенным сделкам, направленным на отчуждение в отношении зарегистрированных транспортных средств, осуществляется на основании заявления нового собственника (пункт 6 Правил государственной регистрации транспортных средств в регистрационных подразделениях Государственной инспекции безопасности дорожного движения Министерства внутренних дел Российской Федерации, утвержденных постановлением Правительства Российской Федерации от 21 декабря 2019 г. № 1764).</w:t>
      </w:r>
    </w:p>
    <w:p w14:paraId="42AB6648">
      <w:pPr>
        <w:pStyle w:val="193"/>
        <w:numPr>
          <w:ilvl w:val="0"/>
          <w:numId w:val="1"/>
        </w:numPr>
        <w:ind w:left="0" w:firstLine="567"/>
        <w:rPr>
          <w:rFonts w:ascii="Times New Roman" w:hAnsi="Times New Roman"/>
          <w:sz w:val="28"/>
          <w:szCs w:val="28"/>
        </w:rPr>
      </w:pPr>
      <w:r>
        <w:rPr>
          <w:rFonts w:ascii="Times New Roman" w:hAnsi="Times New Roman"/>
          <w:sz w:val="28"/>
          <w:szCs w:val="28"/>
        </w:rPr>
        <w:t>Если транспортное средство по состоянию на отчетную дату находилось в собственности служащего (работника), его супруги (супруга), несовершеннолетнего ребенка, то его следует отразить в данном подразделе справки. Если на отчетную дату транспортное средство уже было отчуждено, то в подразделе 3.2 справки его отражать не следует. При этом в разделе 1 справки следует указать доход от продажи транспортного средства, в том числе по схеме "трейд-ин".</w:t>
      </w:r>
    </w:p>
    <w:p w14:paraId="766674B9">
      <w:pPr>
        <w:pStyle w:val="193"/>
        <w:numPr>
          <w:ilvl w:val="0"/>
          <w:numId w:val="1"/>
        </w:numPr>
        <w:ind w:left="0" w:firstLine="567"/>
        <w:rPr>
          <w:rFonts w:ascii="Times New Roman" w:hAnsi="Times New Roman"/>
          <w:sz w:val="28"/>
          <w:szCs w:val="28"/>
        </w:rPr>
      </w:pPr>
      <w:r>
        <w:rPr>
          <w:rFonts w:ascii="Times New Roman" w:hAnsi="Times New Roman"/>
          <w:sz w:val="28"/>
          <w:szCs w:val="28"/>
        </w:rPr>
        <w:t>Указанию также подлежит транспортное средство, полученное в порядке наследования (принято наследство и выдано свидетельство о праве на наследство) или по решению суда (вступило в законную силу).</w:t>
      </w:r>
    </w:p>
    <w:p w14:paraId="447FB1B2">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Регистрация транспортных средств носит учетный характер и не служит основанием для возникновения (прекращения) на них права собственности (см. Определение Судебной коллегии по гражданским делам Верховного Суда Российской Федерации от 16 апреля 2019 г. № 18-КГ19-9). Таким образом, в случае, например, если служащий (работник) до 31 декабря 2025 года включительно продал легковой автомобиль, а новый собственник зарегистрировал такое транспортное средство только в январе 2026 года, то данный объект не подлежит отражению в подразделе 3.2 раздела 3 справки служащего (работника). </w:t>
      </w:r>
      <w:r>
        <w:rPr>
          <w:rFonts w:ascii="Times New Roman" w:hAnsi="Times New Roman"/>
          <w:color w:val="000000"/>
          <w:sz w:val="28"/>
          <w:szCs w:val="28"/>
        </w:rPr>
        <w:t>При заполнении графы</w:t>
      </w:r>
      <w:r>
        <w:rPr>
          <w:rFonts w:ascii="Times New Roman" w:hAnsi="Times New Roman"/>
          <w:b/>
          <w:color w:val="000000"/>
          <w:sz w:val="28"/>
          <w:szCs w:val="28"/>
        </w:rPr>
        <w:t xml:space="preserve"> "Место регистрации" </w:t>
      </w:r>
      <w:r>
        <w:rPr>
          <w:rFonts w:ascii="Times New Roman" w:hAnsi="Times New Roman"/>
          <w:color w:val="000000"/>
          <w:sz w:val="28"/>
          <w:szCs w:val="28"/>
        </w:rPr>
        <w:t xml:space="preserve">указывается наименование органа внутренних дел, осуществившего </w:t>
      </w:r>
      <w:r>
        <w:rPr>
          <w:rFonts w:ascii="Times New Roman" w:hAnsi="Times New Roman"/>
          <w:sz w:val="28"/>
          <w:szCs w:val="28"/>
        </w:rPr>
        <w:t xml:space="preserve">регистрационный учет транспортного средства, например </w:t>
      </w:r>
      <w:r>
        <w:fldChar w:fldCharType="begin"/>
      </w:r>
      <w:r>
        <w:instrText xml:space="preserve"> HYPERLINK "https://www.gibdd.ru/r/77/contacts/div1145039/" \o "https://www.gibdd.ru/r/77/contacts/div1145039/" </w:instrText>
      </w:r>
      <w:r>
        <w:fldChar w:fldCharType="separate"/>
      </w:r>
      <w:r>
        <w:rPr>
          <w:rFonts w:ascii="Times New Roman" w:hAnsi="Times New Roman" w:eastAsia="Times New Roman"/>
          <w:bCs/>
          <w:sz w:val="28"/>
          <w:szCs w:val="28"/>
          <w:lang w:eastAsia="ru-RU"/>
        </w:rPr>
        <w:t>МО ГИБДД ТНРЭР № 2 ГУ МВД России по г. Москве</w:t>
      </w:r>
      <w:r>
        <w:rPr>
          <w:rFonts w:ascii="Times New Roman" w:hAnsi="Times New Roman" w:eastAsia="Times New Roman"/>
          <w:bCs/>
          <w:sz w:val="28"/>
          <w:szCs w:val="28"/>
          <w:lang w:eastAsia="ru-RU"/>
        </w:rPr>
        <w:fldChar w:fldCharType="end"/>
      </w:r>
      <w:r>
        <w:rPr>
          <w:rFonts w:ascii="Times New Roman" w:hAnsi="Times New Roman" w:eastAsia="Times New Roman"/>
          <w:sz w:val="28"/>
          <w:szCs w:val="28"/>
          <w:lang w:eastAsia="ru-RU"/>
        </w:rPr>
        <w:t xml:space="preserve">, </w:t>
      </w:r>
      <w:r>
        <w:fldChar w:fldCharType="begin"/>
      </w:r>
      <w:r>
        <w:instrText xml:space="preserve"> HYPERLINK "https://www.gibdd.ru/r/66/contacts/div1165058/" \o "https://www.gibdd.ru/r/66/contacts/div1165058/" </w:instrText>
      </w:r>
      <w:r>
        <w:fldChar w:fldCharType="separate"/>
      </w:r>
      <w:r>
        <w:rPr>
          <w:rFonts w:ascii="Times New Roman" w:hAnsi="Times New Roman" w:eastAsia="Times New Roman"/>
          <w:bCs/>
          <w:sz w:val="28"/>
          <w:szCs w:val="28"/>
          <w:lang w:eastAsia="ru-RU"/>
        </w:rPr>
        <w:t>ОГИБДД ММО МВД России "Шалинский</w:t>
      </w:r>
      <w:r>
        <w:rPr>
          <w:rFonts w:ascii="Times New Roman" w:hAnsi="Times New Roman" w:eastAsia="Times New Roman"/>
          <w:bCs/>
          <w:sz w:val="28"/>
          <w:szCs w:val="28"/>
          <w:lang w:eastAsia="ru-RU"/>
        </w:rPr>
        <w:fldChar w:fldCharType="end"/>
      </w:r>
      <w:r>
        <w:rPr>
          <w:rFonts w:ascii="Times New Roman" w:hAnsi="Times New Roman" w:eastAsia="Times New Roman"/>
          <w:sz w:val="28"/>
          <w:szCs w:val="28"/>
          <w:lang w:eastAsia="ru-RU"/>
        </w:rPr>
        <w:t xml:space="preserve">", </w:t>
      </w:r>
      <w:r>
        <w:fldChar w:fldCharType="begin"/>
      </w:r>
      <w:r>
        <w:instrText xml:space="preserve"> HYPERLINK "https://www.gibdd.ru/r/66/contacts/div1165043/" \o "https://www.gibdd.ru/r/66/contacts/div1165043/" </w:instrText>
      </w:r>
      <w:r>
        <w:fldChar w:fldCharType="separate"/>
      </w:r>
      <w:r>
        <w:rPr>
          <w:rFonts w:ascii="Times New Roman" w:hAnsi="Times New Roman" w:eastAsia="Times New Roman"/>
          <w:bCs/>
          <w:sz w:val="28"/>
          <w:szCs w:val="28"/>
          <w:lang w:eastAsia="ru-RU"/>
        </w:rPr>
        <w:t>ОГИБДД ММО МВД России по Новолялинскому району</w:t>
      </w:r>
      <w:r>
        <w:rPr>
          <w:rFonts w:ascii="Times New Roman" w:hAnsi="Times New Roman" w:eastAsia="Times New Roman"/>
          <w:bCs/>
          <w:sz w:val="28"/>
          <w:szCs w:val="28"/>
          <w:lang w:eastAsia="ru-RU"/>
        </w:rPr>
        <w:fldChar w:fldCharType="end"/>
      </w:r>
      <w:r>
        <w:rPr>
          <w:rFonts w:ascii="Times New Roman" w:hAnsi="Times New Roman" w:eastAsia="Times New Roman"/>
          <w:sz w:val="28"/>
          <w:szCs w:val="28"/>
          <w:lang w:eastAsia="ru-RU"/>
        </w:rPr>
        <w:t xml:space="preserve">, </w:t>
      </w:r>
      <w:r>
        <w:rPr>
          <w:rFonts w:ascii="Times New Roman" w:hAnsi="Times New Roman"/>
          <w:sz w:val="28"/>
          <w:szCs w:val="28"/>
        </w:rPr>
        <w:t>3 отд. МОТОТРЭР ГИБДД УВД по ЦАО г. Москвы</w:t>
      </w:r>
      <w:r>
        <w:rPr>
          <w:rFonts w:ascii="Times New Roman" w:hAnsi="Times New Roman" w:eastAsia="Times New Roman"/>
          <w:sz w:val="28"/>
          <w:szCs w:val="28"/>
          <w:lang w:eastAsia="ru-RU"/>
        </w:rPr>
        <w:t xml:space="preserve"> и т.д. Указанные данные заполняются </w:t>
      </w:r>
      <w:r>
        <w:rPr>
          <w:rFonts w:ascii="Times New Roman" w:hAnsi="Times New Roman"/>
          <w:color w:val="000000"/>
          <w:sz w:val="28"/>
          <w:szCs w:val="28"/>
        </w:rPr>
        <w:t>согласно официальным документам (например,</w:t>
      </w:r>
      <w:r>
        <w:rPr>
          <w:rFonts w:ascii="Times New Roman" w:hAnsi="Times New Roman" w:eastAsia="Times New Roman"/>
          <w:sz w:val="28"/>
          <w:szCs w:val="28"/>
          <w:lang w:eastAsia="ru-RU"/>
        </w:rPr>
        <w:t xml:space="preserve"> </w:t>
      </w:r>
      <w:r>
        <w:rPr>
          <w:rFonts w:ascii="Times New Roman" w:hAnsi="Times New Roman"/>
          <w:color w:val="000000"/>
          <w:sz w:val="28"/>
          <w:szCs w:val="28"/>
        </w:rPr>
        <w:t xml:space="preserve">согласно </w:t>
      </w:r>
      <w:r>
        <w:rPr>
          <w:rFonts w:ascii="Times New Roman" w:hAnsi="Times New Roman"/>
          <w:sz w:val="28"/>
          <w:szCs w:val="28"/>
        </w:rPr>
        <w:t>паспорту транспортного средства или свидетельству о регистрации транспортного средства).</w:t>
      </w:r>
    </w:p>
    <w:p w14:paraId="71D0D5D3">
      <w:pPr>
        <w:pStyle w:val="193"/>
        <w:ind w:left="0" w:firstLine="567"/>
        <w:rPr>
          <w:rFonts w:ascii="Times New Roman" w:hAnsi="Times New Roman"/>
          <w:sz w:val="28"/>
          <w:szCs w:val="28"/>
        </w:rPr>
      </w:pPr>
      <w:r>
        <w:rPr>
          <w:rFonts w:ascii="Times New Roman" w:hAnsi="Times New Roman"/>
          <w:sz w:val="28"/>
          <w:szCs w:val="28"/>
        </w:rPr>
        <w:t>Также допускается указание только кода подразделения ГИБДД в соответствии со свидетельством о регистрации транспортного средства.</w:t>
      </w:r>
    </w:p>
    <w:p w14:paraId="73A7E986">
      <w:pPr>
        <w:pStyle w:val="193"/>
        <w:ind w:left="0" w:firstLine="567"/>
        <w:rPr>
          <w:rFonts w:ascii="Times New Roman" w:hAnsi="Times New Roman"/>
          <w:sz w:val="28"/>
          <w:szCs w:val="28"/>
        </w:rPr>
      </w:pPr>
      <w:r>
        <w:rPr>
          <w:rFonts w:ascii="Times New Roman" w:hAnsi="Times New Roman"/>
          <w:sz w:val="28"/>
          <w:szCs w:val="28"/>
        </w:rPr>
        <w:t xml:space="preserve">В случае отсутствия регистрации допускается указать "Отсутствует". </w:t>
      </w:r>
    </w:p>
    <w:p w14:paraId="0BB6ACD9">
      <w:pPr>
        <w:pStyle w:val="193"/>
        <w:numPr>
          <w:ilvl w:val="0"/>
          <w:numId w:val="1"/>
        </w:numPr>
        <w:ind w:left="0" w:firstLine="567"/>
        <w:rPr>
          <w:rFonts w:ascii="Times New Roman" w:hAnsi="Times New Roman"/>
          <w:sz w:val="28"/>
          <w:szCs w:val="28"/>
        </w:rPr>
      </w:pPr>
      <w:r>
        <w:rPr>
          <w:rFonts w:ascii="Times New Roman" w:hAnsi="Times New Roman"/>
          <w:sz w:val="28"/>
          <w:szCs w:val="28"/>
        </w:rPr>
        <w:t>Аналогичным подходом необходимо руководствоваться при указании в данном подразделе водного, воздушного транспорта.</w:t>
      </w:r>
    </w:p>
    <w:p w14:paraId="7A11BB59">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строке </w:t>
      </w:r>
      <w:r>
        <w:rPr>
          <w:rFonts w:ascii="Times New Roman" w:hAnsi="Times New Roman"/>
          <w:b/>
          <w:sz w:val="28"/>
        </w:rPr>
        <w:t>"Иные транспортные средства"</w:t>
      </w:r>
      <w:r>
        <w:rPr>
          <w:rFonts w:ascii="Times New Roman" w:hAnsi="Times New Roman"/>
          <w:sz w:val="28"/>
          <w:szCs w:val="28"/>
        </w:rPr>
        <w:t xml:space="preserve"> подлежат указанию, в частности, прицепы, зарегистрированные в установленном порядке.</w:t>
      </w:r>
    </w:p>
    <w:p w14:paraId="351A1AEB">
      <w:pPr>
        <w:pStyle w:val="193"/>
        <w:ind w:left="0" w:firstLine="567"/>
        <w:rPr>
          <w:rFonts w:ascii="Times New Roman" w:hAnsi="Times New Roman"/>
          <w:sz w:val="28"/>
          <w:szCs w:val="28"/>
        </w:rPr>
      </w:pPr>
      <w:r>
        <w:rPr>
          <w:rFonts w:ascii="Times New Roman" w:hAnsi="Times New Roman"/>
          <w:sz w:val="28"/>
          <w:szCs w:val="28"/>
        </w:rPr>
        <w:t>Подвесной лодочный мотор не является ни объектом недвижимого имущества, ни транспортным средством и в этой связи не подлежит отражению в справке.</w:t>
      </w:r>
    </w:p>
    <w:p w14:paraId="4FA5539F">
      <w:pPr>
        <w:pStyle w:val="4"/>
        <w:rPr>
          <w:b w:val="0"/>
        </w:rPr>
      </w:pPr>
      <w:bookmarkStart w:id="58" w:name="_Toc225936085"/>
      <w:r>
        <w:t>Подраздел 3.3. Цифровые финансовые активы, цифровые права, включающие одновременно цифровые финансовые активы и иные цифровые права</w:t>
      </w:r>
      <w:bookmarkEnd w:id="58"/>
    </w:p>
    <w:p w14:paraId="1485EC35">
      <w:pPr>
        <w:pStyle w:val="193"/>
        <w:widowControl w:val="0"/>
        <w:numPr>
          <w:ilvl w:val="0"/>
          <w:numId w:val="1"/>
        </w:numPr>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В соответствии со статьей 141.1 Гражданского кодекса Российской Федерации цифровыми правами признаются названные в таком качестве в законе обязательственные и иные права, содержание и условия осуществления которых определяются в соответствии с правилами информационной системы, отвечающей установленным законом признакам. Осуществление, распоряжение, в том числе передача, залог, обременение цифрового права другими способами или ограничение распоряжения цифровым правом возможны только в информационной системе без обращения к третьему лицу.</w:t>
      </w:r>
    </w:p>
    <w:p w14:paraId="70C360E0">
      <w:pPr>
        <w:pStyle w:val="193"/>
        <w:widowControl w:val="0"/>
        <w:numPr>
          <w:ilvl w:val="0"/>
          <w:numId w:val="1"/>
        </w:numPr>
        <w:ind w:left="0" w:firstLine="567"/>
        <w:rPr>
          <w:rStyle w:val="191"/>
          <w:rFonts w:ascii="Times New Roman" w:hAnsi="Times New Roman" w:cs="Times New Roman"/>
          <w:b/>
          <w:sz w:val="28"/>
          <w:szCs w:val="28"/>
          <w:shd w:val="clear" w:color="auto" w:fill="auto"/>
        </w:rPr>
      </w:pPr>
      <w:r>
        <w:rPr>
          <w:rStyle w:val="191"/>
          <w:rFonts w:ascii="Times New Roman" w:hAnsi="Times New Roman" w:cs="Times New Roman"/>
          <w:sz w:val="28"/>
          <w:szCs w:val="28"/>
          <w:shd w:val="clear" w:color="auto" w:fill="auto"/>
        </w:rPr>
        <w:t>В соответствии со статьей 1 Федерального закона от 31 июля 2020 г. № 259-ФЗ "О цифровых финансовых активах, цифровой валюте и о внесении изменений в отдельные законодательные акты Российской Федерации" цифровыми финансовыми активами признаются цифровые права, включающие денежные требования, возможность осуществления прав по эмиссионным ценным бумагам, права участия в капитале непубличного акционерного общества, право требовать передачи эмиссионных ценных бумаг, которые предусмотрены решением о выпуске цифровых финансовых активов в порядке, установленном указанным Федеральным законом, выпуск, учет и обращение которых возможны только путем внесения (изменения) записей в информационную систему на основе распределенного реестра, а также в иные информационные системы.</w:t>
      </w:r>
    </w:p>
    <w:p w14:paraId="1268775A">
      <w:pPr>
        <w:widowControl w:val="0"/>
        <w:ind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Выпуск, учет и обращение цифровых прав, включающих одновременно цифровые финансовые активы и иные цифровые права, осуществляются в соответствии с требованиями указанного Федерального закона к выпуску, учету и обращению цифровых финансовых активов.</w:t>
      </w:r>
    </w:p>
    <w:p w14:paraId="2F9EA604">
      <w:pPr>
        <w:pStyle w:val="193"/>
        <w:widowControl w:val="0"/>
        <w:numPr>
          <w:ilvl w:val="0"/>
          <w:numId w:val="1"/>
        </w:numPr>
        <w:ind w:left="0" w:firstLine="567"/>
        <w:rPr>
          <w:rStyle w:val="191"/>
          <w:rFonts w:ascii="Times New Roman" w:hAnsi="Times New Roman" w:cs="Times New Roman"/>
          <w:sz w:val="28"/>
          <w:szCs w:val="28"/>
          <w:shd w:val="clear" w:color="auto" w:fill="auto"/>
        </w:rPr>
      </w:pPr>
      <w:r>
        <w:rPr>
          <w:rFonts w:ascii="Times New Roman" w:hAnsi="Times New Roman"/>
          <w:sz w:val="28"/>
          <w:szCs w:val="28"/>
        </w:rPr>
        <w:t>Указанию также подлежат цифровые финансовые активы, цифровые права, включающие одновременно цифровые финансовые активы и иные цифровые права, полученные в порядке наследования (принято наследство и выдано свидетельство о праве на наследство) или по решению суда (вступило в законную силу).</w:t>
      </w:r>
    </w:p>
    <w:p w14:paraId="4CB7627B">
      <w:pPr>
        <w:pStyle w:val="193"/>
        <w:widowControl w:val="0"/>
        <w:numPr>
          <w:ilvl w:val="0"/>
          <w:numId w:val="1"/>
        </w:numPr>
        <w:ind w:left="0" w:firstLine="567"/>
        <w:rPr>
          <w:rStyle w:val="191"/>
          <w:rFonts w:ascii="Times New Roman" w:hAnsi="Times New Roman" w:cs="Times New Roman"/>
          <w:b/>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Наименование цифрового финансового актива или цифрового права</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указываются наименование цифрового финансового актива (если его нельзя определить, указываются вид и объем прав, удостоверяемых выпускаемым цифровым финансовым активом) и (или) цифрового права, включающего одновременно цифровые финансовые активы и иные цифровые права (если его нельзя определить, указываются вид и объем прав, удостоверяемых цифровыми финансовыми активами и иными цифровыми правами с указанием видов иных цифровых прав).</w:t>
      </w:r>
    </w:p>
    <w:p w14:paraId="3249D7A9">
      <w:pPr>
        <w:pStyle w:val="193"/>
        <w:widowControl w:val="0"/>
        <w:numPr>
          <w:ilvl w:val="0"/>
          <w:numId w:val="1"/>
        </w:numPr>
        <w:ind w:left="0" w:firstLine="567"/>
        <w:rPr>
          <w:rStyle w:val="191"/>
          <w:rFonts w:ascii="Times New Roman" w:hAnsi="Times New Roman" w:cs="Times New Roman"/>
          <w:b/>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Дата приобретения</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указывается дата приобретения цифрового финансового актива</w:t>
      </w:r>
      <w:r>
        <w:rPr>
          <w:rFonts w:ascii="Times New Roman" w:hAnsi="Times New Roman"/>
          <w:sz w:val="28"/>
          <w:szCs w:val="28"/>
        </w:rPr>
        <w:t>, цифрового права, включающего одновременно цифровые финансовые активы и иные цифровые права,</w:t>
      </w:r>
      <w:r>
        <w:rPr>
          <w:rStyle w:val="191"/>
          <w:rFonts w:ascii="Times New Roman" w:hAnsi="Times New Roman" w:cs="Times New Roman"/>
          <w:sz w:val="28"/>
          <w:szCs w:val="28"/>
          <w:shd w:val="clear" w:color="auto" w:fill="auto"/>
        </w:rPr>
        <w:t xml:space="preserve"> или иного цифрового права.</w:t>
      </w:r>
    </w:p>
    <w:p w14:paraId="55E3331A">
      <w:pPr>
        <w:pStyle w:val="193"/>
        <w:widowControl w:val="0"/>
        <w:numPr>
          <w:ilvl w:val="0"/>
          <w:numId w:val="1"/>
        </w:numPr>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Общее количество</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указывается общее количество приобретенных цифровых финансовых активов</w:t>
      </w:r>
      <w:r>
        <w:rPr>
          <w:rFonts w:ascii="Times New Roman" w:hAnsi="Times New Roman"/>
          <w:sz w:val="28"/>
          <w:szCs w:val="28"/>
        </w:rPr>
        <w:t>, цифровых прав, включающих одновременно цифровые финансовые активы и иные цифровые права,</w:t>
      </w:r>
      <w:r>
        <w:rPr>
          <w:rStyle w:val="191"/>
          <w:rFonts w:ascii="Times New Roman" w:hAnsi="Times New Roman" w:cs="Times New Roman"/>
          <w:sz w:val="28"/>
          <w:szCs w:val="28"/>
          <w:shd w:val="clear" w:color="auto" w:fill="auto"/>
        </w:rPr>
        <w:t xml:space="preserve"> или цифровых прав.</w:t>
      </w:r>
    </w:p>
    <w:p w14:paraId="082C5BF1">
      <w:pPr>
        <w:pStyle w:val="193"/>
        <w:widowControl w:val="0"/>
        <w:numPr>
          <w:ilvl w:val="0"/>
          <w:numId w:val="1"/>
        </w:numPr>
        <w:ind w:left="0" w:firstLine="567"/>
        <w:rPr>
          <w:rStyle w:val="191"/>
          <w:rFonts w:ascii="Times New Roman" w:hAnsi="Times New Roman" w:cs="Times New Roman"/>
          <w:b/>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Сведения об операторе информационной системы, в которой осуществляется выпуск цифровых финансовых активов</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указываются наименование оператора информационной системы, в которой осуществляется выпуск цифровых финансовых активов, страна его регистрации и его регистрационный номер в соответствии с применимым правом (в отношении российского юридического лица указываются идентификационный номер налогоплательщика и основной государственный регистрационный номер).</w:t>
      </w:r>
    </w:p>
    <w:p w14:paraId="28CFEAD1">
      <w:pPr>
        <w:pStyle w:val="193"/>
        <w:widowControl w:val="0"/>
        <w:numPr>
          <w:ilvl w:val="0"/>
          <w:numId w:val="1"/>
        </w:numPr>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Реестр российских операторов информационных систем, в которых осуществляется выпуск цифровых финансовых активов, размещен на официальном сайте Банка России по ссылке: </w:t>
      </w:r>
      <w:r>
        <w:fldChar w:fldCharType="begin"/>
      </w:r>
      <w:r>
        <w:instrText xml:space="preserve"> HYPERLINK "https://cbr.ru/admissionfinmarket/navigator/ois/" </w:instrText>
      </w:r>
      <w:r>
        <w:fldChar w:fldCharType="separate"/>
      </w:r>
      <w:r>
        <w:rPr>
          <w:rStyle w:val="17"/>
          <w:rFonts w:ascii="Times New Roman" w:hAnsi="Times New Roman"/>
          <w:sz w:val="28"/>
          <w:szCs w:val="28"/>
        </w:rPr>
        <w:t>https://cbr.ru/admissionfinmarket/navigator/ois/</w:t>
      </w:r>
      <w:r>
        <w:rPr>
          <w:rStyle w:val="17"/>
          <w:rFonts w:ascii="Times New Roman" w:hAnsi="Times New Roman"/>
          <w:sz w:val="28"/>
          <w:szCs w:val="28"/>
        </w:rPr>
        <w:fldChar w:fldCharType="end"/>
      </w:r>
      <w:r>
        <w:rPr>
          <w:rStyle w:val="191"/>
          <w:rFonts w:ascii="Times New Roman" w:hAnsi="Times New Roman" w:cs="Times New Roman"/>
          <w:sz w:val="28"/>
          <w:szCs w:val="28"/>
          <w:shd w:val="clear" w:color="auto" w:fill="auto"/>
        </w:rPr>
        <w:t xml:space="preserve">. </w:t>
      </w:r>
    </w:p>
    <w:p w14:paraId="4B702B97">
      <w:pPr>
        <w:pStyle w:val="4"/>
      </w:pPr>
      <w:bookmarkStart w:id="59" w:name="_Toc225936086"/>
      <w:r>
        <w:t>Подраздел 3.4. Утилитарные цифровые права</w:t>
      </w:r>
      <w:bookmarkEnd w:id="59"/>
    </w:p>
    <w:p w14:paraId="29452DA1">
      <w:pPr>
        <w:pStyle w:val="193"/>
        <w:widowControl w:val="0"/>
        <w:numPr>
          <w:ilvl w:val="0"/>
          <w:numId w:val="1"/>
        </w:numPr>
        <w:ind w:left="0" w:firstLine="567"/>
        <w:rPr>
          <w:rStyle w:val="191"/>
          <w:rFonts w:ascii="Times New Roman" w:hAnsi="Times New Roman" w:cs="Times New Roman"/>
          <w:b/>
          <w:sz w:val="28"/>
          <w:szCs w:val="28"/>
          <w:shd w:val="clear" w:color="auto" w:fill="auto"/>
        </w:rPr>
      </w:pPr>
      <w:r>
        <w:rPr>
          <w:rStyle w:val="191"/>
          <w:rFonts w:ascii="Times New Roman" w:hAnsi="Times New Roman" w:cs="Times New Roman"/>
          <w:sz w:val="28"/>
          <w:szCs w:val="28"/>
          <w:shd w:val="clear" w:color="auto" w:fill="auto"/>
        </w:rPr>
        <w:t xml:space="preserve">Частью 1 статьи 8 Федерального закона от 2 августа 2019 г. № 259-ФЗ "О привлечении инвестиций с использованием инвестиционных платформ и о внесении изменений в отдельные законодательные акты Российской Федерации" предусмотрено, что в инвестиционной платформе, отвечающей признакам, предусмотренным частью 5 статьи 11 указанного Федерального закона, могут приобретаться, отчуждаться и осуществляться следующие цифровые права (утилитарные цифровые права): </w:t>
      </w:r>
    </w:p>
    <w:p w14:paraId="5DF430EF">
      <w:pPr>
        <w:pStyle w:val="193"/>
        <w:widowControl w:val="0"/>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1) право требовать передачи вещи (вещей) (например, право требования золота в слитках при инвестировании в добычу золота); </w:t>
      </w:r>
    </w:p>
    <w:p w14:paraId="7C062A8B">
      <w:pPr>
        <w:pStyle w:val="193"/>
        <w:widowControl w:val="0"/>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2) право требовать передачи исключительных прав на результаты интеллектуальной деятельности и (или) прав использования результатов интеллектуальной деятельности (например, право требования передачи прав использования разработанного в рамках договора инвестирования программного обеспечения); </w:t>
      </w:r>
    </w:p>
    <w:p w14:paraId="139B2204">
      <w:pPr>
        <w:pStyle w:val="193"/>
        <w:widowControl w:val="0"/>
        <w:tabs>
          <w:tab w:val="left" w:pos="142"/>
        </w:tabs>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3) право требовать выполнения работ и (или) оказания услуг (например, право требования оказания гостиничных услуг при инвестировании в строительство гостиницы). </w:t>
      </w:r>
    </w:p>
    <w:p w14:paraId="4174AF52">
      <w:pPr>
        <w:pStyle w:val="193"/>
        <w:widowControl w:val="0"/>
        <w:numPr>
          <w:ilvl w:val="0"/>
          <w:numId w:val="1"/>
        </w:numPr>
        <w:tabs>
          <w:tab w:val="left" w:pos="142"/>
        </w:tabs>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Приобретение утилитарных цифровых прав является одним из способов инвестирования с использованием инвестиционной платформы в соответствии со статьей 5 Федерального закона от 2 августа 2019 г. № 259-ФЗ "О привлечении инвестиций с использованием инвестиционных платформ и о внесении изменений в отдельные законодательные акты Российской Федерации". Инвестирование иными способами (например, путем предоставления займов, путем приобретения эмиссионных ценных бумаг и (или) путем приобретения цифровых финансовых активов) с использованием инвестиционной платформы, отличными от приобретения утилитарных цифровых прав, не указывается в данном подразделе раздела 3 справки.</w:t>
      </w:r>
    </w:p>
    <w:p w14:paraId="55653A2F">
      <w:pPr>
        <w:pStyle w:val="193"/>
        <w:widowControl w:val="0"/>
        <w:numPr>
          <w:ilvl w:val="0"/>
          <w:numId w:val="1"/>
        </w:numPr>
        <w:tabs>
          <w:tab w:val="left" w:pos="142"/>
        </w:tabs>
        <w:ind w:left="0" w:firstLine="567"/>
        <w:rPr>
          <w:rFonts w:ascii="Times New Roman" w:hAnsi="Times New Roman"/>
          <w:b/>
          <w:sz w:val="28"/>
          <w:szCs w:val="28"/>
        </w:rPr>
      </w:pPr>
      <w:r>
        <w:rPr>
          <w:rFonts w:ascii="Times New Roman" w:hAnsi="Times New Roman"/>
          <w:sz w:val="28"/>
          <w:szCs w:val="28"/>
        </w:rPr>
        <w:t>Указанию также подлежат утилитарные цифровые права, полученные в порядке наследования (принято наследство и выдано свидетельство о праве на наследство).</w:t>
      </w:r>
    </w:p>
    <w:p w14:paraId="3476BBA6">
      <w:pPr>
        <w:pStyle w:val="193"/>
        <w:widowControl w:val="0"/>
        <w:numPr>
          <w:ilvl w:val="0"/>
          <w:numId w:val="1"/>
        </w:numPr>
        <w:tabs>
          <w:tab w:val="left" w:pos="142"/>
        </w:tabs>
        <w:ind w:left="0" w:firstLine="567"/>
        <w:rPr>
          <w:rStyle w:val="191"/>
          <w:rFonts w:ascii="Times New Roman" w:hAnsi="Times New Roman" w:cs="Times New Roman"/>
          <w:b/>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Уникальное условное обозначение</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указывается уникальное условное обозначение, идентифицирующее утилитарное цифровое право.</w:t>
      </w:r>
    </w:p>
    <w:p w14:paraId="4A09A77F">
      <w:pPr>
        <w:pStyle w:val="193"/>
        <w:widowControl w:val="0"/>
        <w:numPr>
          <w:ilvl w:val="0"/>
          <w:numId w:val="1"/>
        </w:numPr>
        <w:tabs>
          <w:tab w:val="left" w:pos="142"/>
        </w:tabs>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Дата приобретения</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указывается дата приобретения утилитарного цифрового права.</w:t>
      </w:r>
    </w:p>
    <w:p w14:paraId="6F6B84F5">
      <w:pPr>
        <w:pStyle w:val="193"/>
        <w:widowControl w:val="0"/>
        <w:numPr>
          <w:ilvl w:val="0"/>
          <w:numId w:val="1"/>
        </w:numPr>
        <w:ind w:left="0" w:firstLine="567"/>
        <w:rPr>
          <w:rStyle w:val="191"/>
          <w:rFonts w:ascii="Times New Roman" w:hAnsi="Times New Roman" w:cs="Times New Roman"/>
          <w:b/>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Объем инвестиций (руб.)</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указывается объем инвестиций в рублях в соответствии с договором инвестирования.</w:t>
      </w:r>
      <w:r>
        <w:rPr>
          <w:rFonts w:ascii="Times New Roman" w:hAnsi="Times New Roman"/>
          <w:sz w:val="28"/>
          <w:szCs w:val="28"/>
        </w:rPr>
        <w:t xml:space="preserve"> </w:t>
      </w:r>
      <w:r>
        <w:rPr>
          <w:rStyle w:val="191"/>
          <w:rFonts w:ascii="Times New Roman" w:hAnsi="Times New Roman" w:cs="Times New Roman"/>
          <w:sz w:val="28"/>
          <w:szCs w:val="28"/>
          <w:shd w:val="clear" w:color="auto" w:fill="auto"/>
        </w:rPr>
        <w:t xml:space="preserve">Инвестиции, выраженные в иностранной валюте, указываются в рублях по курсу Банка России на дату их осуществления </w:t>
      </w:r>
      <w:r>
        <w:rPr>
          <w:rFonts w:ascii="Times New Roman" w:hAnsi="Times New Roman" w:eastAsia="Times New Roman"/>
          <w:sz w:val="28"/>
          <w:szCs w:val="28"/>
          <w:lang w:eastAsia="ru-RU"/>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eastAsia="Times New Roman"/>
          <w:sz w:val="28"/>
          <w:szCs w:val="28"/>
          <w:lang w:eastAsia="ru-RU"/>
        </w:rPr>
        <w:t>)</w:t>
      </w:r>
      <w:r>
        <w:rPr>
          <w:rStyle w:val="191"/>
          <w:rFonts w:ascii="Times New Roman" w:hAnsi="Times New Roman" w:cs="Times New Roman"/>
          <w:sz w:val="28"/>
          <w:szCs w:val="28"/>
          <w:shd w:val="clear" w:color="auto" w:fill="auto"/>
        </w:rPr>
        <w:t>.</w:t>
      </w:r>
    </w:p>
    <w:p w14:paraId="0AD89255">
      <w:pPr>
        <w:widowControl w:val="0"/>
        <w:ind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Под инвестициями в соответствии с пунктом 2 части 1 статьи 2 Федерального закона от 2 августа 2019 г. № 259-ФЗ "О привлечении инвестиций с использованием инвестиционных платформ и о внесении изменений в отдельные законодательные акты Российской Федерации" понимаются денежные средства, используемые в целях получения прибыли или достижения иного полезного эффекта путем приобретения предусмотренных ценных бумаг или цифровых прав либо путем предоставления займа.</w:t>
      </w:r>
    </w:p>
    <w:p w14:paraId="31728CF0">
      <w:pPr>
        <w:pStyle w:val="193"/>
        <w:widowControl w:val="0"/>
        <w:numPr>
          <w:ilvl w:val="0"/>
          <w:numId w:val="1"/>
        </w:numPr>
        <w:ind w:left="0" w:firstLine="567"/>
        <w:rPr>
          <w:rStyle w:val="191"/>
          <w:rFonts w:ascii="Times New Roman" w:hAnsi="Times New Roman" w:cs="Times New Roman"/>
          <w:b/>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Сведения об операторе инвестиционной платформы</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указываются наименование оператора инвестиционной платформы, его идентификационный номер налогоплательщика и основной государственный регистрационный номер.</w:t>
      </w:r>
    </w:p>
    <w:p w14:paraId="1295A6A9">
      <w:pPr>
        <w:pStyle w:val="193"/>
        <w:widowControl w:val="0"/>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Реестр операторов инвестиционных платформ размещен на официальном сайте Банка России по ссылке: </w:t>
      </w:r>
      <w:r>
        <w:fldChar w:fldCharType="begin"/>
      </w:r>
      <w:r>
        <w:instrText xml:space="preserve"> HYPERLINK "https://cbr.ru/admissionfinmarket/navigator/oip/" </w:instrText>
      </w:r>
      <w:r>
        <w:fldChar w:fldCharType="separate"/>
      </w:r>
      <w:r>
        <w:rPr>
          <w:rStyle w:val="17"/>
          <w:rFonts w:ascii="Times New Roman" w:hAnsi="Times New Roman"/>
          <w:sz w:val="28"/>
          <w:szCs w:val="28"/>
        </w:rPr>
        <w:t>https://cbr.ru/admissionfinmarket/navigator/oip/</w:t>
      </w:r>
      <w:r>
        <w:rPr>
          <w:rStyle w:val="17"/>
          <w:rFonts w:ascii="Times New Roman" w:hAnsi="Times New Roman"/>
          <w:sz w:val="28"/>
          <w:szCs w:val="28"/>
        </w:rPr>
        <w:fldChar w:fldCharType="end"/>
      </w:r>
      <w:r>
        <w:rPr>
          <w:rFonts w:ascii="Times New Roman" w:hAnsi="Times New Roman"/>
          <w:sz w:val="28"/>
          <w:szCs w:val="28"/>
        </w:rPr>
        <w:t xml:space="preserve">. </w:t>
      </w:r>
    </w:p>
    <w:p w14:paraId="12276236">
      <w:pPr>
        <w:pStyle w:val="193"/>
        <w:widowControl w:val="0"/>
        <w:ind w:left="0" w:firstLine="567"/>
        <w:outlineLvl w:val="2"/>
        <w:rPr>
          <w:rStyle w:val="191"/>
          <w:rFonts w:ascii="Times New Roman" w:hAnsi="Times New Roman" w:cs="Times New Roman"/>
          <w:sz w:val="28"/>
          <w:szCs w:val="28"/>
          <w:shd w:val="clear" w:color="auto" w:fill="auto"/>
        </w:rPr>
      </w:pPr>
      <w:bookmarkStart w:id="60" w:name="_Toc225936087"/>
      <w:r>
        <w:rPr>
          <w:rFonts w:ascii="Times New Roman" w:hAnsi="Times New Roman"/>
          <w:b/>
          <w:sz w:val="28"/>
          <w:szCs w:val="28"/>
        </w:rPr>
        <w:t>Подраздел 3.5. Цифровая валюта</w:t>
      </w:r>
      <w:bookmarkEnd w:id="60"/>
    </w:p>
    <w:p w14:paraId="0BEF69AB">
      <w:pPr>
        <w:pStyle w:val="193"/>
        <w:widowControl w:val="0"/>
        <w:numPr>
          <w:ilvl w:val="0"/>
          <w:numId w:val="1"/>
        </w:numPr>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В соответствии со статьей 1 Федерального закона от 31 июля 2020 г. № 259-ФЗ "О цифровых финансовых активах, цифровой валюте и о внесении изменений в отдельные законодательные акты Российской Федерации" цифровой валютой признается совокупность электронных данных (цифрового кода или обозначения), содержащихся в информационной системе, которые предлагаются и (или) могут быть приняты в качестве средства платежа, не являющегося денежной единицей Российской Федерации, денежной единицей иностранного государства и (или) международной денежной или расчетной единицей, и (или) в качестве инвестиций и в отношении которых отсутствует лицо, обязанное перед каждым обладателем таких электронных данных, за исключением оператора и (или) узлов информационной системы, обязанных только обеспечивать соответствие порядка выпуска этих электронных данных и осуществления в их отношении действий по внесению (изменению) записей в такую информационную систему ее правилам.</w:t>
      </w:r>
    </w:p>
    <w:p w14:paraId="7AB57380">
      <w:pPr>
        <w:pStyle w:val="193"/>
        <w:widowControl w:val="0"/>
        <w:numPr>
          <w:ilvl w:val="0"/>
          <w:numId w:val="1"/>
        </w:numPr>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К цифровой валюте не относятся бонусные баллы, бонусы на накопительных дисконтных картах, начисленные банками и иными организациями за пользование их услугами, в том числе в виде денежных средств ("кешбэк сервис").</w:t>
      </w:r>
    </w:p>
    <w:p w14:paraId="1E1CE00D">
      <w:pPr>
        <w:pStyle w:val="193"/>
        <w:widowControl w:val="0"/>
        <w:numPr>
          <w:ilvl w:val="0"/>
          <w:numId w:val="1"/>
        </w:numPr>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Примерами цифровой валюты являются: Биткоин (BTC), Эфириум (ETH) и др.</w:t>
      </w:r>
    </w:p>
    <w:p w14:paraId="5FEDE6EC">
      <w:pPr>
        <w:pStyle w:val="193"/>
        <w:numPr>
          <w:ilvl w:val="0"/>
          <w:numId w:val="1"/>
        </w:numPr>
        <w:ind w:left="0" w:firstLine="567"/>
        <w:rPr>
          <w:rStyle w:val="191"/>
          <w:rFonts w:ascii="Times New Roman" w:hAnsi="Times New Roman" w:cs="Times New Roman"/>
          <w:sz w:val="28"/>
          <w:szCs w:val="28"/>
          <w:shd w:val="clear" w:color="auto" w:fill="auto"/>
        </w:rPr>
      </w:pPr>
      <w:r>
        <w:rPr>
          <w:rFonts w:ascii="Times New Roman" w:hAnsi="Times New Roman"/>
          <w:sz w:val="28"/>
          <w:szCs w:val="28"/>
        </w:rPr>
        <w:t>Указанию также подлежит цифровая валюта, полученная в порядке наследования (принято наследство и выдано свидетельство о праве на наследство) или по решению суда (вступило в законную силу).</w:t>
      </w:r>
    </w:p>
    <w:p w14:paraId="54CC1196">
      <w:pPr>
        <w:pStyle w:val="193"/>
        <w:widowControl w:val="0"/>
        <w:numPr>
          <w:ilvl w:val="0"/>
          <w:numId w:val="1"/>
        </w:numPr>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Наименование цифровой валюты</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указывается наименование цифровой валюты в соответствии с применимыми документами (без произвольной транслитерации).</w:t>
      </w:r>
    </w:p>
    <w:p w14:paraId="33CB908B">
      <w:pPr>
        <w:pStyle w:val="193"/>
        <w:widowControl w:val="0"/>
        <w:numPr>
          <w:ilvl w:val="0"/>
          <w:numId w:val="1"/>
        </w:numPr>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Дата приобретения</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указывается дата приобретения цифровой валюты.</w:t>
      </w:r>
    </w:p>
    <w:p w14:paraId="6FCAACA5">
      <w:pPr>
        <w:pStyle w:val="193"/>
        <w:widowControl w:val="0"/>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 xml:space="preserve">В отношении цифровой валюты, полученной в результате осуществления майнинга или участия в майнинг-пуле, в графе </w:t>
      </w:r>
      <w:r>
        <w:rPr>
          <w:rStyle w:val="191"/>
          <w:rFonts w:ascii="Times New Roman" w:hAnsi="Times New Roman" w:cs="Times New Roman"/>
          <w:b/>
          <w:sz w:val="28"/>
          <w:szCs w:val="28"/>
          <w:shd w:val="clear" w:color="auto" w:fill="auto"/>
        </w:rPr>
        <w:t>"Дата приобретения"</w:t>
      </w:r>
      <w:r>
        <w:rPr>
          <w:rStyle w:val="191"/>
          <w:rFonts w:ascii="Times New Roman" w:hAnsi="Times New Roman" w:cs="Times New Roman"/>
          <w:sz w:val="28"/>
          <w:szCs w:val="28"/>
          <w:shd w:val="clear" w:color="auto" w:fill="auto"/>
        </w:rPr>
        <w:t xml:space="preserve"> указывается дата получения цифровой валюты лицом, осуществляющим майнинг цифровой валюты (в том числе участником майнинг-пула).</w:t>
      </w:r>
    </w:p>
    <w:p w14:paraId="7488CF96">
      <w:pPr>
        <w:pStyle w:val="193"/>
        <w:widowControl w:val="0"/>
        <w:numPr>
          <w:ilvl w:val="0"/>
          <w:numId w:val="1"/>
        </w:numPr>
        <w:ind w:left="0" w:firstLine="567"/>
        <w:rPr>
          <w:rStyle w:val="191"/>
          <w:rFonts w:ascii="Times New Roman" w:hAnsi="Times New Roman"/>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w:t>
      </w:r>
      <w:r>
        <w:rPr>
          <w:rStyle w:val="191"/>
          <w:rFonts w:ascii="Times New Roman" w:hAnsi="Times New Roman" w:cs="Times New Roman"/>
          <w:b/>
          <w:sz w:val="28"/>
          <w:szCs w:val="28"/>
          <w:shd w:val="clear" w:color="auto" w:fill="auto"/>
        </w:rPr>
        <w:t>Общее количество</w:t>
      </w:r>
      <w:r>
        <w:rPr>
          <w:rStyle w:val="191"/>
          <w:rFonts w:ascii="Times New Roman" w:hAnsi="Times New Roman"/>
          <w:b/>
          <w:sz w:val="28"/>
          <w:shd w:val="clear" w:color="auto" w:fill="auto"/>
        </w:rPr>
        <w:t>"</w:t>
      </w:r>
      <w:r>
        <w:rPr>
          <w:rStyle w:val="191"/>
          <w:rFonts w:ascii="Times New Roman" w:hAnsi="Times New Roman" w:cs="Times New Roman"/>
          <w:sz w:val="28"/>
          <w:szCs w:val="28"/>
          <w:shd w:val="clear" w:color="auto" w:fill="auto"/>
        </w:rPr>
        <w:t xml:space="preserve"> указывается точное количество цифровой валюты, находящейся в собственности (без округления). </w:t>
      </w:r>
    </w:p>
    <w:p w14:paraId="5336DFF8">
      <w:pPr>
        <w:pStyle w:val="193"/>
        <w:widowControl w:val="0"/>
        <w:ind w:left="567" w:firstLine="0"/>
        <w:rPr>
          <w:rFonts w:ascii="Times New Roman" w:hAnsi="Times New Roman"/>
          <w:b/>
          <w:sz w:val="28"/>
        </w:rPr>
      </w:pPr>
    </w:p>
    <w:p w14:paraId="299A2AB5">
      <w:pPr>
        <w:pStyle w:val="3"/>
        <w:ind w:firstLine="0"/>
        <w:jc w:val="center"/>
        <w:rPr>
          <w:b w:val="0"/>
        </w:rPr>
      </w:pPr>
      <w:bookmarkStart w:id="61" w:name="_Toc225936088"/>
      <w:r>
        <w:t xml:space="preserve">РАЗДЕЛ 4. СВЕДЕНИЯ О СЧЕТАХ В БАНКАХ </w:t>
      </w:r>
      <w:r>
        <w:br w:type="textWrapping"/>
      </w:r>
      <w:r>
        <w:t>И ИНЫХ КРЕДИТНЫХ ОРГАНИЗАЦИЯХ</w:t>
      </w:r>
      <w:bookmarkEnd w:id="61"/>
    </w:p>
    <w:p w14:paraId="1A6518E7">
      <w:pPr>
        <w:ind w:firstLine="851"/>
        <w:jc w:val="center"/>
        <w:rPr>
          <w:rFonts w:ascii="Times New Roman" w:hAnsi="Times New Roman"/>
          <w:b/>
          <w:sz w:val="28"/>
          <w:szCs w:val="28"/>
        </w:rPr>
      </w:pPr>
    </w:p>
    <w:p w14:paraId="337923C5">
      <w:pPr>
        <w:pStyle w:val="193"/>
        <w:numPr>
          <w:ilvl w:val="0"/>
          <w:numId w:val="1"/>
        </w:numPr>
        <w:ind w:left="0" w:firstLine="567"/>
        <w:rPr>
          <w:rFonts w:ascii="Times New Roman" w:hAnsi="Times New Roman"/>
          <w:sz w:val="28"/>
          <w:szCs w:val="28"/>
        </w:rPr>
      </w:pPr>
      <w:r>
        <w:rPr>
          <w:rFonts w:ascii="Times New Roman" w:hAnsi="Times New Roman"/>
          <w:sz w:val="28"/>
          <w:szCs w:val="28"/>
        </w:rPr>
        <w:t>В данном разделе справки отражается информация обо всех счетах, открытых по состоянию на отчетную дату в банках и иных кредитных организациях на основании гражданско-правового договора на имя лица, в отношении которого представляется справка.</w:t>
      </w:r>
    </w:p>
    <w:p w14:paraId="4FB9957D">
      <w:pPr>
        <w:tabs>
          <w:tab w:val="left" w:pos="567"/>
          <w:tab w:val="left" w:pos="993"/>
        </w:tabs>
        <w:ind w:firstLine="567"/>
        <w:rPr>
          <w:rFonts w:ascii="Times New Roman" w:hAnsi="Times New Roman"/>
          <w:color w:val="000000"/>
          <w:sz w:val="28"/>
          <w:szCs w:val="28"/>
        </w:rPr>
      </w:pPr>
      <w:r>
        <w:rPr>
          <w:rFonts w:ascii="Times New Roman" w:hAnsi="Times New Roman"/>
          <w:color w:val="000000"/>
          <w:sz w:val="28"/>
          <w:szCs w:val="28"/>
        </w:rPr>
        <w:t xml:space="preserve">Информация о счетах, закрытых по состоянию на отчетную дату, не подлежит отражению в справке. </w:t>
      </w:r>
    </w:p>
    <w:p w14:paraId="3AD47456">
      <w:pPr>
        <w:pStyle w:val="193"/>
        <w:ind w:left="0" w:firstLine="567"/>
        <w:rPr>
          <w:rFonts w:ascii="Times New Roman" w:hAnsi="Times New Roman"/>
          <w:color w:val="000000"/>
          <w:sz w:val="28"/>
          <w:szCs w:val="28"/>
        </w:rPr>
      </w:pPr>
      <w:r>
        <w:rPr>
          <w:rFonts w:ascii="Times New Roman" w:hAnsi="Times New Roman"/>
          <w:color w:val="000000"/>
          <w:sz w:val="28"/>
          <w:szCs w:val="28"/>
        </w:rPr>
        <w:t>В данном разделе справки подлежат отражению именно счета, а не карты. Таким образом, если счет банком или иной кредитной организацией не открывался, основания для заполнения раздела 4 справки не усматриваются. К</w:t>
      </w:r>
      <w:r>
        <w:rPr>
          <w:rFonts w:ascii="Times New Roman" w:hAnsi="Times New Roman"/>
          <w:sz w:val="28"/>
          <w:szCs w:val="28"/>
        </w:rPr>
        <w:t>арта может быть не привязана к счету, например, при открытии "Пушкинской карты" и др.</w:t>
      </w:r>
    </w:p>
    <w:p w14:paraId="65F622E2">
      <w:pPr>
        <w:pStyle w:val="193"/>
        <w:ind w:left="0" w:firstLine="567"/>
        <w:rPr>
          <w:rFonts w:ascii="Times New Roman" w:hAnsi="Times New Roman"/>
          <w:color w:val="000000"/>
          <w:sz w:val="28"/>
          <w:szCs w:val="28"/>
        </w:rPr>
      </w:pPr>
      <w:r>
        <w:rPr>
          <w:rFonts w:ascii="Times New Roman" w:hAnsi="Times New Roman"/>
          <w:color w:val="000000"/>
          <w:sz w:val="28"/>
          <w:szCs w:val="28"/>
        </w:rPr>
        <w:t>Счета (вклады), открытые в иностранных банках (иных кредитных организациях), также указываются в разделе 4 справки с учетом применимого регулирования (например, такие счета могут иметь иной вид счета, отличный от "Текущего" или "Депозитного").</w:t>
      </w:r>
    </w:p>
    <w:p w14:paraId="495E0BD7">
      <w:pPr>
        <w:pStyle w:val="193"/>
        <w:numPr>
          <w:ilvl w:val="0"/>
          <w:numId w:val="1"/>
        </w:numPr>
        <w:ind w:left="0" w:firstLine="567"/>
        <w:rPr>
          <w:rFonts w:ascii="Times New Roman" w:hAnsi="Times New Roman"/>
          <w:sz w:val="28"/>
          <w:szCs w:val="28"/>
        </w:rPr>
      </w:pPr>
      <w:bookmarkStart w:id="62" w:name="два"/>
      <w:r>
        <w:rPr>
          <w:rFonts w:ascii="Times New Roman" w:hAnsi="Times New Roman"/>
          <w:sz w:val="28"/>
          <w:szCs w:val="28"/>
        </w:rPr>
        <w:t>В частности, подлежит указанию информация о следующих открытых счетах (в том числе о счетах, к которым не эмитированы (не выпущены) платежные карты):</w:t>
      </w:r>
    </w:p>
    <w:p w14:paraId="37F917B0">
      <w:pPr>
        <w:pStyle w:val="193"/>
        <w:ind w:left="0" w:firstLine="567"/>
        <w:rPr>
          <w:rFonts w:ascii="Times New Roman" w:hAnsi="Times New Roman"/>
          <w:sz w:val="28"/>
          <w:szCs w:val="28"/>
        </w:rPr>
      </w:pPr>
      <w:r>
        <w:rPr>
          <w:rFonts w:ascii="Times New Roman" w:hAnsi="Times New Roman"/>
          <w:sz w:val="28"/>
          <w:szCs w:val="28"/>
        </w:rPr>
        <w:t>1) счета с нулевым остатком по состоянию на отчетную дату;</w:t>
      </w:r>
    </w:p>
    <w:p w14:paraId="6A0E99F2">
      <w:pPr>
        <w:pStyle w:val="193"/>
        <w:ind w:left="0" w:firstLine="567"/>
        <w:rPr>
          <w:rFonts w:ascii="Times New Roman" w:hAnsi="Times New Roman"/>
          <w:sz w:val="28"/>
          <w:szCs w:val="28"/>
        </w:rPr>
      </w:pPr>
      <w:r>
        <w:rPr>
          <w:rFonts w:ascii="Times New Roman" w:hAnsi="Times New Roman"/>
          <w:sz w:val="28"/>
          <w:szCs w:val="28"/>
        </w:rPr>
        <w:t>2) счета, совершение операций по которым осуществляется с использованием расчетных (дебетовых) карт, кредитных карт, например, различные виды социальных карт (социальная карта москвича, социальная карта студента, социальная карта учащегося), платежных карт для зачисления пенсии и др., в том числе в случаях окончания срока действия этих карт (их блокировки), если при этом счет не был закрыт;</w:t>
      </w:r>
    </w:p>
    <w:p w14:paraId="4D34BF0A">
      <w:pPr>
        <w:pStyle w:val="193"/>
        <w:ind w:left="0" w:firstLine="567"/>
        <w:rPr>
          <w:rFonts w:ascii="Times New Roman" w:hAnsi="Times New Roman"/>
          <w:sz w:val="28"/>
          <w:szCs w:val="28"/>
        </w:rPr>
      </w:pPr>
      <w:r>
        <w:rPr>
          <w:rFonts w:ascii="Times New Roman" w:hAnsi="Times New Roman"/>
          <w:sz w:val="28"/>
          <w:szCs w:val="28"/>
        </w:rPr>
        <w:t>3) счета (вклады) в иностранных банках, расположенных за пределами Российской Федерации.</w:t>
      </w:r>
    </w:p>
    <w:p w14:paraId="7B91D293">
      <w:pPr>
        <w:ind w:firstLine="567"/>
        <w:rPr>
          <w:rStyle w:val="191"/>
          <w:rFonts w:ascii="Times New Roman" w:hAnsi="Times New Roman" w:cs="Times New Roman"/>
          <w:color w:val="000000"/>
          <w:sz w:val="28"/>
          <w:szCs w:val="28"/>
        </w:rPr>
      </w:pPr>
      <w:r>
        <w:rPr>
          <w:rStyle w:val="191"/>
          <w:rFonts w:ascii="Times New Roman" w:hAnsi="Times New Roman" w:cs="Times New Roman"/>
          <w:color w:val="000000"/>
          <w:sz w:val="28"/>
          <w:szCs w:val="28"/>
        </w:rPr>
        <w:t>При наличии счетов (вкладов) в иностранных банках, расположенных за пределами территории Российской Федерации, которые подлежат закрытию, рекомендуется приложить копию заявления, поданного в соответствующую комиссию, о невозможности выполнить требования Федерального закона от 7 мая 2013 г. № 79-ФЗ;</w:t>
      </w:r>
    </w:p>
    <w:p w14:paraId="01D1E2B4">
      <w:pPr>
        <w:pStyle w:val="193"/>
        <w:ind w:left="0" w:firstLine="567"/>
        <w:rPr>
          <w:rFonts w:ascii="Times New Roman" w:hAnsi="Times New Roman"/>
          <w:sz w:val="28"/>
          <w:szCs w:val="28"/>
        </w:rPr>
      </w:pPr>
      <w:r>
        <w:rPr>
          <w:rFonts w:ascii="Times New Roman" w:hAnsi="Times New Roman"/>
          <w:sz w:val="28"/>
          <w:szCs w:val="28"/>
        </w:rPr>
        <w:t>4) счета, открытые для погашения кредита;</w:t>
      </w:r>
    </w:p>
    <w:p w14:paraId="6BF2BDA6">
      <w:pPr>
        <w:pStyle w:val="193"/>
        <w:ind w:left="0" w:firstLine="567"/>
        <w:rPr>
          <w:rFonts w:ascii="Times New Roman" w:hAnsi="Times New Roman"/>
          <w:sz w:val="28"/>
          <w:szCs w:val="28"/>
        </w:rPr>
      </w:pPr>
      <w:r>
        <w:rPr>
          <w:rFonts w:ascii="Times New Roman" w:hAnsi="Times New Roman"/>
          <w:sz w:val="28"/>
          <w:szCs w:val="28"/>
        </w:rPr>
        <w:t>5) вклады (счета) в драгоценных металлах (в том числе указывается вид счета и металл, в котором он открыт);</w:t>
      </w:r>
    </w:p>
    <w:p w14:paraId="5A62743A">
      <w:pPr>
        <w:pStyle w:val="193"/>
        <w:ind w:left="0" w:firstLine="567"/>
        <w:rPr>
          <w:rFonts w:ascii="Times New Roman" w:hAnsi="Times New Roman"/>
          <w:sz w:val="28"/>
          <w:szCs w:val="28"/>
        </w:rPr>
      </w:pPr>
      <w:r>
        <w:rPr>
          <w:rFonts w:ascii="Times New Roman" w:hAnsi="Times New Roman"/>
          <w:sz w:val="28"/>
          <w:szCs w:val="28"/>
        </w:rPr>
        <w:t>6) счета, открытые гражданам, зарегистрированным в качестве индивидуальных предпринимателей, и гражданам, занимающимся в установленном законодательством Российской Федерации порядке частной практикой;</w:t>
      </w:r>
    </w:p>
    <w:p w14:paraId="0E11CDA2">
      <w:pPr>
        <w:pStyle w:val="193"/>
        <w:ind w:left="0" w:firstLine="567"/>
        <w:rPr>
          <w:rFonts w:ascii="Times New Roman" w:hAnsi="Times New Roman"/>
          <w:sz w:val="28"/>
          <w:szCs w:val="28"/>
        </w:rPr>
      </w:pPr>
      <w:r>
        <w:rPr>
          <w:rFonts w:ascii="Times New Roman" w:hAnsi="Times New Roman"/>
          <w:sz w:val="28"/>
          <w:szCs w:val="28"/>
        </w:rPr>
        <w:t>7) номинальный счет;</w:t>
      </w:r>
    </w:p>
    <w:p w14:paraId="119D57D0">
      <w:pPr>
        <w:pStyle w:val="193"/>
        <w:ind w:left="0" w:firstLine="567"/>
        <w:rPr>
          <w:rFonts w:ascii="Times New Roman" w:hAnsi="Times New Roman"/>
          <w:sz w:val="28"/>
          <w:szCs w:val="28"/>
        </w:rPr>
      </w:pPr>
      <w:r>
        <w:rPr>
          <w:rFonts w:ascii="Times New Roman" w:hAnsi="Times New Roman"/>
          <w:sz w:val="28"/>
          <w:szCs w:val="28"/>
        </w:rPr>
        <w:t>8) счет эскроу;</w:t>
      </w:r>
    </w:p>
    <w:p w14:paraId="5C0A7D4B">
      <w:pPr>
        <w:pStyle w:val="193"/>
        <w:ind w:left="0" w:firstLine="567"/>
        <w:rPr>
          <w:rFonts w:ascii="Times New Roman" w:hAnsi="Times New Roman"/>
          <w:sz w:val="28"/>
          <w:szCs w:val="28"/>
        </w:rPr>
      </w:pPr>
      <w:r>
        <w:rPr>
          <w:rFonts w:ascii="Times New Roman" w:hAnsi="Times New Roman"/>
          <w:sz w:val="28"/>
          <w:szCs w:val="28"/>
        </w:rPr>
        <w:t>9) счет цифрового рубля.</w:t>
      </w:r>
    </w:p>
    <w:p w14:paraId="19757DFD">
      <w:pPr>
        <w:pStyle w:val="21"/>
        <w:ind w:firstLine="567"/>
        <w:rPr>
          <w:rFonts w:ascii="Times New Roman" w:hAnsi="Times New Roman"/>
          <w:sz w:val="28"/>
          <w:szCs w:val="28"/>
        </w:rPr>
      </w:pPr>
      <w:r>
        <w:rPr>
          <w:rFonts w:ascii="Times New Roman" w:hAnsi="Times New Roman"/>
          <w:sz w:val="28"/>
          <w:szCs w:val="28"/>
        </w:rPr>
        <w:t>Отражение граммов драгоценного металла в рублевом эквиваленте осуществляется аналогично счетам, открытым в иностранной валюте. Остаток на вкладе (счете) в драгоценных металлах указывается в рублях по учетным ценам Банка России на драгоценные металлы на отчетную дату.</w:t>
      </w:r>
    </w:p>
    <w:p w14:paraId="4B6F2149">
      <w:pPr>
        <w:pStyle w:val="193"/>
        <w:ind w:left="0" w:firstLine="567"/>
        <w:rPr>
          <w:rFonts w:ascii="Times New Roman" w:hAnsi="Times New Roman"/>
          <w:sz w:val="28"/>
          <w:szCs w:val="28"/>
        </w:rPr>
      </w:pPr>
      <w:r>
        <w:rPr>
          <w:rFonts w:ascii="Times New Roman" w:hAnsi="Times New Roman"/>
          <w:sz w:val="28"/>
          <w:szCs w:val="28"/>
        </w:rPr>
        <w:t xml:space="preserve">Сведения об учетных ценах на аффинированные драгоценные металлы, устанавливаемых Банком России, размещены на его официальном сайте: </w:t>
      </w:r>
      <w:r>
        <w:fldChar w:fldCharType="begin"/>
      </w:r>
      <w:r>
        <w:instrText xml:space="preserve"> HYPERLINK "https://www.cbr.ru/hd_base/metall/metall_base_new/" \o "https://www.cbr.ru/hd_base/metall/metall_base_new/" </w:instrText>
      </w:r>
      <w:r>
        <w:fldChar w:fldCharType="separate"/>
      </w:r>
      <w:r>
        <w:rPr>
          <w:rStyle w:val="17"/>
          <w:rFonts w:ascii="Times New Roman" w:hAnsi="Times New Roman"/>
          <w:sz w:val="28"/>
          <w:szCs w:val="28"/>
        </w:rPr>
        <w:t>https://www.cbr.ru/hd_base/metall/metall_base_new/</w:t>
      </w:r>
      <w:r>
        <w:rPr>
          <w:rStyle w:val="17"/>
          <w:rFonts w:ascii="Times New Roman" w:hAnsi="Times New Roman"/>
          <w:sz w:val="28"/>
          <w:szCs w:val="28"/>
        </w:rPr>
        <w:fldChar w:fldCharType="end"/>
      </w:r>
      <w:r>
        <w:rPr>
          <w:rFonts w:ascii="Times New Roman" w:hAnsi="Times New Roman"/>
          <w:sz w:val="28"/>
          <w:szCs w:val="28"/>
        </w:rPr>
        <w:t>.</w:t>
      </w:r>
    </w:p>
    <w:p w14:paraId="015CC736">
      <w:pPr>
        <w:pStyle w:val="193"/>
        <w:numPr>
          <w:ilvl w:val="0"/>
          <w:numId w:val="1"/>
        </w:numPr>
        <w:ind w:left="0" w:firstLine="567"/>
        <w:rPr>
          <w:rFonts w:ascii="Times New Roman" w:hAnsi="Times New Roman"/>
          <w:sz w:val="28"/>
          <w:szCs w:val="28"/>
        </w:rPr>
      </w:pPr>
      <w:r>
        <w:rPr>
          <w:rFonts w:ascii="Times New Roman" w:hAnsi="Times New Roman"/>
          <w:sz w:val="28"/>
          <w:szCs w:val="28"/>
        </w:rPr>
        <w:t>С учетом целей антикоррупционного законодательства Российской Федерации в данном разделе не указываются следующие счета:</w:t>
      </w:r>
    </w:p>
    <w:p w14:paraId="5F53265A">
      <w:pPr>
        <w:pStyle w:val="193"/>
        <w:ind w:left="0" w:firstLine="567"/>
        <w:rPr>
          <w:rFonts w:ascii="Times New Roman" w:hAnsi="Times New Roman"/>
          <w:sz w:val="28"/>
          <w:szCs w:val="28"/>
        </w:rPr>
      </w:pPr>
      <w:r>
        <w:rPr>
          <w:rFonts w:ascii="Times New Roman" w:hAnsi="Times New Roman"/>
          <w:sz w:val="28"/>
          <w:szCs w:val="28"/>
        </w:rPr>
        <w:t>1) счета, закрытые по состоянию на отчетную дату;</w:t>
      </w:r>
    </w:p>
    <w:p w14:paraId="13F32C55">
      <w:pPr>
        <w:pStyle w:val="193"/>
        <w:ind w:left="0" w:firstLine="567"/>
        <w:rPr>
          <w:rFonts w:ascii="Times New Roman" w:hAnsi="Times New Roman"/>
          <w:sz w:val="28"/>
          <w:szCs w:val="28"/>
        </w:rPr>
      </w:pPr>
      <w:r>
        <w:rPr>
          <w:rFonts w:ascii="Times New Roman" w:hAnsi="Times New Roman"/>
          <w:sz w:val="28"/>
          <w:szCs w:val="28"/>
        </w:rPr>
        <w:t>2) специальные избирательные счета, открытые в соответствии с Федеральным законом от 12 июня 2002 г. № 67-ФЗ "Об основных гарантиях избирательных прав и права на участие в референдуме граждан Российской Федерации";</w:t>
      </w:r>
    </w:p>
    <w:p w14:paraId="72F86B74">
      <w:pPr>
        <w:pStyle w:val="193"/>
        <w:ind w:left="0" w:firstLine="567"/>
        <w:rPr>
          <w:rFonts w:ascii="Times New Roman" w:hAnsi="Times New Roman"/>
          <w:sz w:val="28"/>
          <w:szCs w:val="28"/>
        </w:rPr>
      </w:pPr>
      <w:r>
        <w:rPr>
          <w:rFonts w:ascii="Times New Roman" w:hAnsi="Times New Roman"/>
          <w:sz w:val="28"/>
          <w:szCs w:val="28"/>
        </w:rPr>
        <w:t>3) публичные депозитные счета нотариуса;</w:t>
      </w:r>
    </w:p>
    <w:p w14:paraId="3F3F3248">
      <w:pPr>
        <w:pStyle w:val="193"/>
        <w:ind w:left="0" w:firstLine="567"/>
        <w:rPr>
          <w:rFonts w:ascii="Times New Roman" w:hAnsi="Times New Roman"/>
          <w:sz w:val="28"/>
          <w:szCs w:val="28"/>
        </w:rPr>
      </w:pPr>
      <w:r>
        <w:rPr>
          <w:rFonts w:ascii="Times New Roman" w:hAnsi="Times New Roman"/>
          <w:sz w:val="28"/>
          <w:szCs w:val="28"/>
        </w:rPr>
        <w:t>4) счета, открытые кредитной организацией для внутреннего (бухгалтерского) учета (например, транзитный валютный счет, ссудный счет), так как такие счета имеют специальное целевое значение и лицо не может распоряжаться денежными средствами с такого счета, поскольку они на данных счетах не находятся, а зачисляются на расчетный или иной счет клиента;</w:t>
      </w:r>
    </w:p>
    <w:p w14:paraId="7678D8C8">
      <w:pPr>
        <w:pStyle w:val="193"/>
        <w:ind w:left="0" w:firstLine="567"/>
        <w:rPr>
          <w:rFonts w:ascii="Times New Roman" w:hAnsi="Times New Roman"/>
          <w:sz w:val="28"/>
          <w:szCs w:val="28"/>
        </w:rPr>
      </w:pPr>
      <w:r>
        <w:rPr>
          <w:rFonts w:ascii="Times New Roman" w:hAnsi="Times New Roman"/>
          <w:sz w:val="28"/>
          <w:szCs w:val="28"/>
        </w:rPr>
        <w:t>5) счета доверительного управления;</w:t>
      </w:r>
    </w:p>
    <w:p w14:paraId="15216EB0">
      <w:pPr>
        <w:pStyle w:val="193"/>
        <w:ind w:left="0" w:firstLine="567"/>
        <w:rPr>
          <w:rFonts w:ascii="Times New Roman" w:hAnsi="Times New Roman"/>
          <w:sz w:val="28"/>
          <w:szCs w:val="28"/>
        </w:rPr>
      </w:pPr>
      <w:r>
        <w:rPr>
          <w:rFonts w:ascii="Times New Roman" w:hAnsi="Times New Roman"/>
          <w:sz w:val="28"/>
          <w:szCs w:val="28"/>
        </w:rPr>
        <w:t>6) открываемые не на основании гражданско-правового договора счета, счета депо, счета брокера, индивидуальные инвестиционные счета;</w:t>
      </w:r>
    </w:p>
    <w:p w14:paraId="3EA01D7F">
      <w:pPr>
        <w:pStyle w:val="193"/>
        <w:ind w:left="0" w:firstLine="567"/>
        <w:rPr>
          <w:rFonts w:ascii="Times New Roman" w:hAnsi="Times New Roman"/>
          <w:sz w:val="28"/>
          <w:szCs w:val="28"/>
        </w:rPr>
      </w:pPr>
      <w:r>
        <w:rPr>
          <w:rFonts w:ascii="Times New Roman" w:hAnsi="Times New Roman"/>
          <w:sz w:val="28"/>
          <w:szCs w:val="28"/>
        </w:rPr>
        <w:t xml:space="preserve">При этом обязательства по договорам о брокерском обслуживании и договорам доверительного управления ценными бумагами, в том числе по договорам, предусматривающим ведение индивидуального инвестиционного счета, подлежат отражению в подразделе 6.2 раздела 6 справки в случае, предусмотренном </w:t>
      </w:r>
      <w:r>
        <w:fldChar w:fldCharType="begin"/>
      </w:r>
      <w:r>
        <w:instrText xml:space="preserve"> HYPERLINK \l "Брокер" </w:instrText>
      </w:r>
      <w:r>
        <w:fldChar w:fldCharType="separate"/>
      </w:r>
      <w:r>
        <w:rPr>
          <w:rStyle w:val="17"/>
          <w:rFonts w:ascii="Times New Roman" w:hAnsi="Times New Roman"/>
          <w:sz w:val="28"/>
        </w:rPr>
        <w:t xml:space="preserve">подпунктом 4 пункта </w:t>
      </w:r>
      <w:r>
        <w:rPr>
          <w:rStyle w:val="17"/>
          <w:rFonts w:ascii="Times New Roman" w:hAnsi="Times New Roman"/>
          <w:sz w:val="28"/>
          <w:szCs w:val="28"/>
        </w:rPr>
        <w:t>217</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sz w:val="28"/>
          <w:szCs w:val="28"/>
        </w:rPr>
        <w:t>.</w:t>
      </w:r>
    </w:p>
    <w:p w14:paraId="1F985686">
      <w:pPr>
        <w:pStyle w:val="193"/>
        <w:ind w:left="0" w:firstLine="567"/>
        <w:rPr>
          <w:rFonts w:ascii="Times New Roman" w:hAnsi="Times New Roman"/>
          <w:sz w:val="28"/>
          <w:szCs w:val="28"/>
        </w:rPr>
      </w:pPr>
      <w:r>
        <w:rPr>
          <w:rFonts w:ascii="Times New Roman" w:hAnsi="Times New Roman"/>
          <w:sz w:val="28"/>
          <w:szCs w:val="28"/>
        </w:rPr>
        <w:t>7) синтетические счета.</w:t>
      </w:r>
    </w:p>
    <w:bookmarkEnd w:id="62"/>
    <w:p w14:paraId="323C0DCD">
      <w:pPr>
        <w:pStyle w:val="193"/>
        <w:numPr>
          <w:ilvl w:val="0"/>
          <w:numId w:val="1"/>
        </w:numPr>
        <w:ind w:left="0" w:firstLine="567"/>
        <w:rPr>
          <w:rFonts w:ascii="Times New Roman" w:hAnsi="Times New Roman"/>
          <w:sz w:val="28"/>
          <w:szCs w:val="28"/>
          <w:shd w:val="clear" w:color="auto" w:fill="FFFFFF"/>
        </w:rPr>
      </w:pPr>
      <w:r>
        <w:rPr>
          <w:rFonts w:ascii="Times New Roman" w:hAnsi="Times New Roman"/>
          <w:sz w:val="28"/>
          <w:szCs w:val="28"/>
        </w:rPr>
        <w:t xml:space="preserve">Для получения достоверных сведений о дате открытия счета в банке (иной кредитной организации), виде и валюте такого счета, остатке на счете на отчетную дату и сумме поступивших на счет денежных средств следует обращаться в банк или соответствующую кредитную организацию в рамках Указания Банка России № 5798-У. </w:t>
      </w:r>
    </w:p>
    <w:p w14:paraId="44EA3103">
      <w:pPr>
        <w:pStyle w:val="193"/>
        <w:ind w:left="0" w:firstLine="567"/>
        <w:rPr>
          <w:rStyle w:val="191"/>
          <w:rFonts w:ascii="Times New Roman" w:hAnsi="Times New Roman" w:cs="Times New Roman"/>
          <w:sz w:val="28"/>
          <w:szCs w:val="28"/>
        </w:rPr>
      </w:pPr>
      <w:r>
        <w:rPr>
          <w:rStyle w:val="191"/>
          <w:rFonts w:ascii="Times New Roman" w:hAnsi="Times New Roman" w:cs="Times New Roman"/>
          <w:sz w:val="28"/>
          <w:szCs w:val="28"/>
        </w:rPr>
        <w:t>Данное Указание Банка России допускает возможность получения необходимой информации не только лицом, с которым заключен соответствующий договор (договоры), но и его представителем. Одновременно предусматривается возможность получения такой информации с использованием средств дистанционного обслуживания клиента.</w:t>
      </w:r>
    </w:p>
    <w:p w14:paraId="67671B20">
      <w:pPr>
        <w:pStyle w:val="193"/>
        <w:ind w:left="0" w:firstLine="567"/>
        <w:rPr>
          <w:rStyle w:val="191"/>
          <w:rFonts w:ascii="Times New Roman" w:hAnsi="Times New Roman"/>
        </w:rPr>
      </w:pPr>
      <w:r>
        <w:rPr>
          <w:rStyle w:val="191"/>
          <w:rFonts w:ascii="Times New Roman" w:hAnsi="Times New Roman" w:cs="Times New Roman"/>
          <w:sz w:val="28"/>
          <w:szCs w:val="28"/>
        </w:rPr>
        <w:t>В этой связи рекомендуется заполнять данный раздел справки на основании информации, полученной в рамках Указания Банка России № 5798-У, которая является официальной.</w:t>
      </w:r>
    </w:p>
    <w:p w14:paraId="1C05DCA5">
      <w:pPr>
        <w:pStyle w:val="193"/>
        <w:ind w:left="0" w:firstLine="567"/>
        <w:rPr>
          <w:rFonts w:ascii="Times New Roman" w:hAnsi="Times New Roman"/>
          <w:sz w:val="28"/>
          <w:szCs w:val="28"/>
        </w:rPr>
      </w:pPr>
      <w:r>
        <w:rPr>
          <w:rStyle w:val="191"/>
          <w:rFonts w:ascii="Times New Roman" w:hAnsi="Times New Roman" w:cs="Times New Roman"/>
          <w:sz w:val="28"/>
          <w:szCs w:val="28"/>
        </w:rPr>
        <w:t>Для счета цифрового рубля информацию целесообразно получать непосредственно у Банка России, который открывает такой счет.</w:t>
      </w:r>
    </w:p>
    <w:p w14:paraId="79888F0F">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rPr>
        <w:t>"Наименование и адрес банка или иной кредитной организации"</w:t>
      </w:r>
      <w:r>
        <w:rPr>
          <w:rFonts w:ascii="Times New Roman" w:hAnsi="Times New Roman"/>
          <w:sz w:val="28"/>
          <w:szCs w:val="28"/>
        </w:rPr>
        <w:t xml:space="preserve"> рекомендуется указывать адрес места нахождения (т.н. "юридический адрес") банка или иной кредитной организации, в котором (которой) был открыт соответствующий счет.</w:t>
      </w:r>
    </w:p>
    <w:p w14:paraId="607CF8A3">
      <w:pPr>
        <w:pStyle w:val="193"/>
        <w:ind w:left="0" w:firstLine="567"/>
        <w:rPr>
          <w:rFonts w:ascii="Times New Roman" w:hAnsi="Times New Roman"/>
          <w:sz w:val="28"/>
          <w:szCs w:val="28"/>
        </w:rPr>
      </w:pPr>
      <w:r>
        <w:rPr>
          <w:rFonts w:ascii="Times New Roman" w:hAnsi="Times New Roman"/>
          <w:sz w:val="28"/>
          <w:szCs w:val="28"/>
        </w:rPr>
        <w:t xml:space="preserve">Поскольку счет цифрового рубля открывается исключительно Банком России, то в отношении такого счета указывается "Банк России, </w:t>
      </w:r>
      <w:r>
        <w:rPr>
          <w:rStyle w:val="191"/>
          <w:rFonts w:ascii="Times New Roman" w:hAnsi="Times New Roman" w:cs="Times New Roman"/>
          <w:sz w:val="28"/>
          <w:szCs w:val="28"/>
        </w:rPr>
        <w:t>107016, Москва, ул. Неглинная, д. 12, к. В.</w:t>
      </w:r>
      <w:r>
        <w:rPr>
          <w:rFonts w:ascii="Times New Roman" w:hAnsi="Times New Roman"/>
          <w:sz w:val="28"/>
          <w:szCs w:val="28"/>
        </w:rPr>
        <w:t>".</w:t>
      </w:r>
    </w:p>
    <w:p w14:paraId="06E53CFF">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rPr>
        <w:t>"Вид и валюта счета"</w:t>
      </w:r>
      <w:r>
        <w:rPr>
          <w:rFonts w:ascii="Times New Roman" w:hAnsi="Times New Roman"/>
          <w:sz w:val="28"/>
          <w:szCs w:val="28"/>
        </w:rPr>
        <w:t xml:space="preserve"> вид счета указывается с учетом норм Гражданского кодекса Российской Федерации, иных федеральных законов и Инструкции Банка России от 30 июня 2021 г. № 204-И "Об открытии, ведении и закрытии банковских счетов, счетов по вкладам (депозитам)".</w:t>
      </w:r>
    </w:p>
    <w:p w14:paraId="2361B092">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соответствии с указанной Инструкцией и с учетом </w:t>
      </w:r>
      <w:r>
        <w:fldChar w:fldCharType="begin"/>
      </w:r>
      <w:r>
        <w:instrText xml:space="preserve"> HYPERLINK \l "два" </w:instrText>
      </w:r>
      <w:r>
        <w:fldChar w:fldCharType="separate"/>
      </w:r>
      <w:r>
        <w:rPr>
          <w:rStyle w:val="17"/>
          <w:rFonts w:ascii="Times New Roman" w:hAnsi="Times New Roman"/>
          <w:sz w:val="28"/>
        </w:rPr>
        <w:t xml:space="preserve">пунктов </w:t>
      </w:r>
      <w:r>
        <w:rPr>
          <w:rStyle w:val="17"/>
          <w:rFonts w:ascii="Times New Roman" w:hAnsi="Times New Roman"/>
          <w:sz w:val="28"/>
          <w:szCs w:val="28"/>
        </w:rPr>
        <w:t>159</w:t>
      </w:r>
      <w:r>
        <w:rPr>
          <w:rStyle w:val="17"/>
          <w:rFonts w:ascii="Times New Roman" w:hAnsi="Times New Roman"/>
          <w:sz w:val="28"/>
        </w:rPr>
        <w:t xml:space="preserve"> и </w:t>
      </w:r>
      <w:r>
        <w:rPr>
          <w:rStyle w:val="17"/>
          <w:rFonts w:ascii="Times New Roman" w:hAnsi="Times New Roman"/>
          <w:sz w:val="28"/>
          <w:szCs w:val="28"/>
        </w:rPr>
        <w:t>160</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sz w:val="28"/>
          <w:szCs w:val="28"/>
        </w:rPr>
        <w:t xml:space="preserve"> физическим лицам открываются следующие применимые для целей представления Сведений счета:</w:t>
      </w:r>
    </w:p>
    <w:p w14:paraId="75BF91C6">
      <w:pPr>
        <w:pStyle w:val="193"/>
        <w:ind w:left="0" w:firstLine="567"/>
        <w:rPr>
          <w:rFonts w:ascii="Times New Roman" w:hAnsi="Times New Roman"/>
          <w:sz w:val="28"/>
          <w:szCs w:val="28"/>
        </w:rPr>
      </w:pPr>
      <w:r>
        <w:rPr>
          <w:rFonts w:ascii="Times New Roman" w:hAnsi="Times New Roman"/>
          <w:sz w:val="28"/>
          <w:szCs w:val="28"/>
        </w:rPr>
        <w:t>1) текущий счет (для совершения операций, не связанных с предпринимательской деятельностью в качестве индивидуального предпринимателя или с частной практикой).</w:t>
      </w:r>
    </w:p>
    <w:p w14:paraId="514856BC">
      <w:pPr>
        <w:pStyle w:val="193"/>
        <w:ind w:left="0" w:firstLine="567"/>
        <w:rPr>
          <w:rFonts w:ascii="Times New Roman" w:hAnsi="Times New Roman"/>
          <w:sz w:val="28"/>
          <w:szCs w:val="28"/>
        </w:rPr>
      </w:pPr>
      <w:r>
        <w:rPr>
          <w:rFonts w:ascii="Times New Roman" w:hAnsi="Times New Roman" w:eastAsia="Times New Roman"/>
          <w:sz w:val="28"/>
          <w:szCs w:val="28"/>
          <w:lang w:eastAsia="ru-RU"/>
        </w:rPr>
        <w:t xml:space="preserve">Служащие (работники), являющиеся держателями расчетных (дебетовых) карт, с использованием которых осуществляются операции по счету, используемому для целей получения заработной платы, указывают их в данном разделе. </w:t>
      </w:r>
      <w:r>
        <w:rPr>
          <w:rFonts w:ascii="Times New Roman" w:hAnsi="Times New Roman"/>
          <w:sz w:val="28"/>
          <w:szCs w:val="28"/>
        </w:rPr>
        <w:t xml:space="preserve">Счет такой карты, как правило, текущий; </w:t>
      </w:r>
    </w:p>
    <w:p w14:paraId="5F34433C">
      <w:pPr>
        <w:pStyle w:val="193"/>
        <w:ind w:left="0" w:firstLine="567"/>
        <w:rPr>
          <w:rFonts w:ascii="Times New Roman" w:hAnsi="Times New Roman"/>
          <w:sz w:val="28"/>
          <w:szCs w:val="28"/>
        </w:rPr>
      </w:pPr>
      <w:r>
        <w:rPr>
          <w:rFonts w:ascii="Times New Roman" w:hAnsi="Times New Roman"/>
          <w:sz w:val="28"/>
          <w:szCs w:val="28"/>
        </w:rPr>
        <w:t>2) счета по вкладам и депозитам (для учета денежных средств (драгоценного металла), размещаемых (размещаемого) в банках в целях получения доходов в виде процентов);</w:t>
      </w:r>
    </w:p>
    <w:p w14:paraId="558BB49E">
      <w:pPr>
        <w:pStyle w:val="193"/>
        <w:ind w:left="0" w:firstLine="567"/>
        <w:rPr>
          <w:rFonts w:ascii="Times New Roman" w:hAnsi="Times New Roman"/>
          <w:sz w:val="28"/>
          <w:szCs w:val="28"/>
        </w:rPr>
      </w:pPr>
      <w:r>
        <w:rPr>
          <w:rFonts w:ascii="Times New Roman" w:hAnsi="Times New Roman"/>
          <w:sz w:val="28"/>
          <w:szCs w:val="28"/>
        </w:rPr>
        <w:t>3) расчетные счета, открываемые индивидуальным предпринимателям или физическим лицам, занимающимся в установленном законодательством Российской Федерации порядке частной практикой, для совершения операций, связанных с предпринимательской деятельностью или с частной практикой.</w:t>
      </w:r>
    </w:p>
    <w:p w14:paraId="730445F0">
      <w:pPr>
        <w:pStyle w:val="193"/>
        <w:ind w:left="0" w:firstLine="567"/>
        <w:rPr>
          <w:rFonts w:ascii="Times New Roman" w:hAnsi="Times New Roman"/>
          <w:sz w:val="28"/>
          <w:szCs w:val="28"/>
        </w:rPr>
      </w:pPr>
      <w:r>
        <w:rPr>
          <w:rFonts w:ascii="Times New Roman" w:hAnsi="Times New Roman"/>
          <w:sz w:val="28"/>
          <w:szCs w:val="28"/>
        </w:rPr>
        <w:t xml:space="preserve">Счета по вкладу, в том числе по вкладам с наименованием "Классический", "Выгодный", "Комфортный" и др., как правило, являются счетами по вкладу (депозиту) и подлежат отражению в данном разделе как "Депозитный". </w:t>
      </w:r>
    </w:p>
    <w:p w14:paraId="05FBECAC">
      <w:pPr>
        <w:pStyle w:val="193"/>
        <w:numPr>
          <w:ilvl w:val="0"/>
          <w:numId w:val="1"/>
        </w:numPr>
        <w:ind w:left="0" w:firstLine="567"/>
        <w:rPr>
          <w:rStyle w:val="191"/>
          <w:rFonts w:ascii="Times New Roman" w:hAnsi="Times New Roman" w:cs="Times New Roman"/>
          <w:sz w:val="28"/>
          <w:szCs w:val="28"/>
        </w:rPr>
      </w:pPr>
      <w:r>
        <w:rPr>
          <w:rFonts w:ascii="Times New Roman" w:hAnsi="Times New Roman"/>
          <w:sz w:val="28"/>
          <w:szCs w:val="28"/>
        </w:rPr>
        <w:t xml:space="preserve">В графе </w:t>
      </w:r>
      <w:r>
        <w:rPr>
          <w:rFonts w:ascii="Times New Roman" w:hAnsi="Times New Roman"/>
          <w:b/>
          <w:sz w:val="28"/>
        </w:rPr>
        <w:t>"Дата открытия счета"</w:t>
      </w:r>
      <w:r>
        <w:rPr>
          <w:rFonts w:ascii="Times New Roman" w:hAnsi="Times New Roman"/>
          <w:sz w:val="28"/>
          <w:szCs w:val="28"/>
        </w:rPr>
        <w:t xml:space="preserve"> </w:t>
      </w:r>
      <w:r>
        <w:rPr>
          <w:rStyle w:val="191"/>
          <w:rFonts w:ascii="Times New Roman" w:hAnsi="Times New Roman" w:cs="Times New Roman"/>
          <w:color w:val="000000"/>
          <w:sz w:val="28"/>
          <w:szCs w:val="28"/>
        </w:rPr>
        <w:t xml:space="preserve">не допускается указание даты выпуска (перевыпуска) платежной карты. </w:t>
      </w:r>
    </w:p>
    <w:p w14:paraId="2CB325ED">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Графа </w:t>
      </w:r>
      <w:r>
        <w:rPr>
          <w:rFonts w:ascii="Times New Roman" w:hAnsi="Times New Roman"/>
          <w:b/>
          <w:sz w:val="28"/>
        </w:rPr>
        <w:t>"Остаток на счете</w:t>
      </w:r>
      <w:r>
        <w:rPr>
          <w:rFonts w:ascii="Times New Roman" w:hAnsi="Times New Roman"/>
          <w:b/>
          <w:sz w:val="28"/>
          <w:szCs w:val="28"/>
        </w:rPr>
        <w:t xml:space="preserve"> (руб.)"</w:t>
      </w:r>
      <w:r>
        <w:rPr>
          <w:rFonts w:ascii="Times New Roman" w:hAnsi="Times New Roman"/>
          <w:sz w:val="28"/>
          <w:szCs w:val="28"/>
        </w:rPr>
        <w:t xml:space="preserve"> заполняется по состоянию на отчетную дату. </w:t>
      </w:r>
    </w:p>
    <w:p w14:paraId="6FC2CBB6">
      <w:pPr>
        <w:pStyle w:val="193"/>
        <w:ind w:left="0" w:firstLine="567"/>
        <w:rPr>
          <w:rFonts w:ascii="Times New Roman" w:hAnsi="Times New Roman"/>
          <w:sz w:val="28"/>
          <w:szCs w:val="28"/>
        </w:rPr>
      </w:pPr>
      <w:r>
        <w:rPr>
          <w:rFonts w:ascii="Times New Roman" w:hAnsi="Times New Roman"/>
          <w:sz w:val="28"/>
          <w:szCs w:val="28"/>
        </w:rPr>
        <w:t>В сумму остатка не включаются денежные средства, в отношении которых в соответствии с пунктом 4 статьи 845 Гражданского кодекса Российской Федерации подтверждена возможность исполнения распоряжения клиента о списании денежных средств.</w:t>
      </w:r>
    </w:p>
    <w:p w14:paraId="1F0E046C">
      <w:pPr>
        <w:pStyle w:val="193"/>
        <w:ind w:left="0" w:firstLine="567"/>
        <w:rPr>
          <w:rFonts w:ascii="Times New Roman" w:hAnsi="Times New Roman"/>
          <w:sz w:val="28"/>
          <w:szCs w:val="28"/>
        </w:rPr>
      </w:pPr>
      <w:r>
        <w:rPr>
          <w:rFonts w:ascii="Times New Roman" w:hAnsi="Times New Roman"/>
          <w:sz w:val="28"/>
          <w:szCs w:val="28"/>
        </w:rPr>
        <w:t xml:space="preserve">Арест на денежные средства, находящиеся на счете, и приостановление операций по счету не влекут уменьшения размера остатка денежных средств, подлежащего отражению в графе </w:t>
      </w:r>
      <w:r>
        <w:rPr>
          <w:rFonts w:ascii="Times New Roman" w:hAnsi="Times New Roman"/>
          <w:b/>
          <w:sz w:val="28"/>
          <w:szCs w:val="28"/>
        </w:rPr>
        <w:t>"Остаток на счете (руб.)"</w:t>
      </w:r>
      <w:r>
        <w:rPr>
          <w:rFonts w:ascii="Times New Roman" w:hAnsi="Times New Roman"/>
          <w:sz w:val="28"/>
          <w:szCs w:val="28"/>
        </w:rPr>
        <w:t xml:space="preserve"> раздела 4 справки в полном объеме.</w:t>
      </w:r>
    </w:p>
    <w:p w14:paraId="77CC6E16">
      <w:pPr>
        <w:pStyle w:val="193"/>
        <w:ind w:left="0" w:firstLine="567"/>
        <w:rPr>
          <w:rFonts w:ascii="Times New Roman" w:hAnsi="Times New Roman"/>
          <w:sz w:val="28"/>
          <w:szCs w:val="28"/>
        </w:rPr>
      </w:pPr>
      <w:r>
        <w:rPr>
          <w:rFonts w:ascii="Times New Roman" w:hAnsi="Times New Roman"/>
          <w:sz w:val="28"/>
          <w:szCs w:val="28"/>
        </w:rPr>
        <w:t xml:space="preserve">Для счетов в иностранной валюте остаток указывается в рублях по курсу Банка России на отчетную дату </w:t>
      </w:r>
      <w:r>
        <w:rPr>
          <w:rFonts w:ascii="Times New Roman" w:hAnsi="Times New Roman" w:eastAsia="Times New Roman"/>
          <w:sz w:val="28"/>
          <w:szCs w:val="28"/>
          <w:lang w:eastAsia="ru-RU"/>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eastAsia="Times New Roman"/>
          <w:sz w:val="28"/>
          <w:szCs w:val="28"/>
          <w:lang w:eastAsia="ru-RU"/>
        </w:rPr>
        <w:t>)</w:t>
      </w:r>
      <w:r>
        <w:rPr>
          <w:rFonts w:ascii="Times New Roman" w:hAnsi="Times New Roman"/>
          <w:sz w:val="28"/>
          <w:szCs w:val="28"/>
        </w:rPr>
        <w:t xml:space="preserve">. </w:t>
      </w:r>
    </w:p>
    <w:p w14:paraId="78A82D70">
      <w:pPr>
        <w:pStyle w:val="193"/>
        <w:ind w:left="0" w:firstLine="567"/>
        <w:rPr>
          <w:rFonts w:ascii="Times New Roman" w:hAnsi="Times New Roman"/>
          <w:sz w:val="28"/>
          <w:szCs w:val="28"/>
        </w:rPr>
      </w:pPr>
      <w:r>
        <w:rPr>
          <w:rFonts w:ascii="Times New Roman" w:hAnsi="Times New Roman"/>
          <w:sz w:val="28"/>
          <w:szCs w:val="28"/>
        </w:rPr>
        <w:t>По счету в драгоценных металлах указывается стоимость драгоценного металла на отчетную дату в рублях исходя из учетных цен на аффинированные драгоценные металлы на отчетную дату, установленных Банком России в соответствии с Указанием Банка России от 10 июля 2024 г. № 6799-У "О перечне и видах драгоценных металлов, в отношении которых устанавливаются учетные цены, и порядке установления учетных цен на драгоценные металлы".</w:t>
      </w:r>
    </w:p>
    <w:p w14:paraId="66E40DCF">
      <w:pPr>
        <w:pStyle w:val="193"/>
        <w:numPr>
          <w:ilvl w:val="0"/>
          <w:numId w:val="1"/>
        </w:numPr>
        <w:ind w:left="0" w:firstLine="567"/>
        <w:rPr>
          <w:rFonts w:ascii="Times New Roman" w:hAnsi="Times New Roman"/>
          <w:sz w:val="28"/>
        </w:rPr>
      </w:pPr>
      <w:r>
        <w:rPr>
          <w:rFonts w:ascii="Times New Roman" w:hAnsi="Times New Roman"/>
          <w:sz w:val="28"/>
        </w:rPr>
        <w:t xml:space="preserve">Графа </w:t>
      </w:r>
      <w:r>
        <w:rPr>
          <w:rFonts w:ascii="Times New Roman" w:hAnsi="Times New Roman"/>
          <w:b/>
          <w:sz w:val="28"/>
        </w:rPr>
        <w:t>"Сумма поступивших на счет денежных средств</w:t>
      </w:r>
      <w:r>
        <w:rPr>
          <w:rFonts w:ascii="Times New Roman" w:hAnsi="Times New Roman"/>
          <w:b/>
          <w:sz w:val="28"/>
          <w:szCs w:val="28"/>
        </w:rPr>
        <w:t xml:space="preserve"> (руб.)"</w:t>
      </w:r>
      <w:r>
        <w:rPr>
          <w:rFonts w:ascii="Times New Roman" w:hAnsi="Times New Roman"/>
          <w:sz w:val="28"/>
        </w:rPr>
        <w:t xml:space="preserve"> заполняется </w:t>
      </w:r>
      <w:r>
        <w:rPr>
          <w:rFonts w:ascii="Times New Roman" w:hAnsi="Times New Roman"/>
          <w:b/>
          <w:sz w:val="28"/>
        </w:rPr>
        <w:t>только</w:t>
      </w:r>
      <w:r>
        <w:rPr>
          <w:rFonts w:ascii="Times New Roman" w:hAnsi="Times New Roman"/>
          <w:sz w:val="28"/>
        </w:rPr>
        <w:t xml:space="preserve"> в случае, если общая сумма денежных </w:t>
      </w:r>
      <w:r>
        <w:rPr>
          <w:rFonts w:ascii="Times New Roman" w:hAnsi="Times New Roman"/>
          <w:sz w:val="28"/>
          <w:szCs w:val="28"/>
        </w:rPr>
        <w:t>средств, поступивших</w:t>
      </w:r>
      <w:r>
        <w:rPr>
          <w:rFonts w:ascii="Times New Roman" w:hAnsi="Times New Roman"/>
          <w:sz w:val="28"/>
        </w:rPr>
        <w:t xml:space="preserve"> на </w:t>
      </w:r>
      <w:r>
        <w:rPr>
          <w:rFonts w:ascii="Times New Roman" w:hAnsi="Times New Roman"/>
          <w:sz w:val="28"/>
          <w:szCs w:val="28"/>
        </w:rPr>
        <w:t>счета</w:t>
      </w:r>
      <w:r>
        <w:rPr>
          <w:rFonts w:ascii="Times New Roman" w:hAnsi="Times New Roman"/>
          <w:sz w:val="28"/>
        </w:rPr>
        <w:t xml:space="preserve"> за отчетный период</w:t>
      </w:r>
      <w:r>
        <w:rPr>
          <w:rFonts w:ascii="Times New Roman" w:hAnsi="Times New Roman"/>
          <w:sz w:val="28"/>
          <w:szCs w:val="28"/>
        </w:rPr>
        <w:t>,</w:t>
      </w:r>
      <w:r>
        <w:rPr>
          <w:rFonts w:ascii="Times New Roman" w:hAnsi="Times New Roman"/>
          <w:sz w:val="28"/>
        </w:rPr>
        <w:t xml:space="preserve"> превышает общий доход служащего (работника</w:t>
      </w:r>
      <w:r>
        <w:rPr>
          <w:rFonts w:ascii="Times New Roman" w:hAnsi="Times New Roman"/>
          <w:sz w:val="28"/>
          <w:szCs w:val="28"/>
        </w:rPr>
        <w:t>),</w:t>
      </w:r>
      <w:r>
        <w:rPr>
          <w:rFonts w:ascii="Times New Roman" w:hAnsi="Times New Roman"/>
          <w:sz w:val="28"/>
        </w:rPr>
        <w:t xml:space="preserve"> его супруги (супруга) </w:t>
      </w:r>
      <w:r>
        <w:rPr>
          <w:rFonts w:ascii="Times New Roman" w:hAnsi="Times New Roman"/>
          <w:sz w:val="28"/>
          <w:szCs w:val="28"/>
        </w:rPr>
        <w:t xml:space="preserve">и несовершеннолетних детей </w:t>
      </w:r>
      <w:r>
        <w:rPr>
          <w:rFonts w:ascii="Times New Roman" w:hAnsi="Times New Roman"/>
          <w:sz w:val="28"/>
        </w:rPr>
        <w:t xml:space="preserve">за отчетный период и два предшествующих ему года. Например, при представлении Сведений в </w:t>
      </w:r>
      <w:r>
        <w:rPr>
          <w:rFonts w:ascii="Times New Roman" w:hAnsi="Times New Roman"/>
          <w:sz w:val="28"/>
          <w:szCs w:val="28"/>
        </w:rPr>
        <w:t>2026</w:t>
      </w:r>
      <w:r>
        <w:rPr>
          <w:rFonts w:ascii="Times New Roman" w:hAnsi="Times New Roman"/>
          <w:sz w:val="28"/>
        </w:rPr>
        <w:t xml:space="preserve"> году графа </w:t>
      </w:r>
      <w:r>
        <w:rPr>
          <w:rFonts w:ascii="Times New Roman" w:hAnsi="Times New Roman"/>
          <w:b/>
          <w:sz w:val="28"/>
        </w:rPr>
        <w:t>"Сумма поступивших на счет денежных средств</w:t>
      </w:r>
      <w:r>
        <w:rPr>
          <w:rFonts w:ascii="Times New Roman" w:hAnsi="Times New Roman"/>
          <w:b/>
          <w:sz w:val="28"/>
          <w:szCs w:val="28"/>
        </w:rPr>
        <w:t xml:space="preserve"> (руб.)"</w:t>
      </w:r>
      <w:r>
        <w:rPr>
          <w:rFonts w:ascii="Times New Roman" w:hAnsi="Times New Roman"/>
          <w:sz w:val="28"/>
        </w:rPr>
        <w:t xml:space="preserve"> заполняется в отношении всех счетов, указанных в каждой отдельной справке, представленной в отношении служащего (работника), его супруги (супруга) или несовершеннолетних детей (т.е. открытых по состоянию на отчетную дату), в случае, если сумма денежных средств, поступивших на </w:t>
      </w:r>
      <w:r>
        <w:rPr>
          <w:rFonts w:ascii="Times New Roman" w:hAnsi="Times New Roman"/>
          <w:sz w:val="28"/>
          <w:szCs w:val="28"/>
        </w:rPr>
        <w:t>такие счета в 2025</w:t>
      </w:r>
      <w:r>
        <w:rPr>
          <w:rFonts w:ascii="Times New Roman" w:hAnsi="Times New Roman"/>
          <w:sz w:val="28"/>
        </w:rPr>
        <w:t> году, превышает общий доход служащего (работника</w:t>
      </w:r>
      <w:r>
        <w:rPr>
          <w:rFonts w:ascii="Times New Roman" w:hAnsi="Times New Roman"/>
          <w:sz w:val="28"/>
          <w:szCs w:val="28"/>
        </w:rPr>
        <w:t>),</w:t>
      </w:r>
      <w:r>
        <w:rPr>
          <w:rFonts w:ascii="Times New Roman" w:hAnsi="Times New Roman"/>
          <w:sz w:val="28"/>
        </w:rPr>
        <w:t xml:space="preserve"> его супруги (супруга) </w:t>
      </w:r>
      <w:r>
        <w:rPr>
          <w:rFonts w:ascii="Times New Roman" w:hAnsi="Times New Roman"/>
          <w:sz w:val="28"/>
          <w:szCs w:val="28"/>
        </w:rPr>
        <w:t xml:space="preserve">и несовершеннолетних детей </w:t>
      </w:r>
      <w:r>
        <w:rPr>
          <w:rFonts w:ascii="Times New Roman" w:hAnsi="Times New Roman"/>
          <w:sz w:val="28"/>
        </w:rPr>
        <w:t>за 2023</w:t>
      </w:r>
      <w:r>
        <w:rPr>
          <w:rFonts w:ascii="Times New Roman" w:hAnsi="Times New Roman"/>
          <w:sz w:val="28"/>
          <w:szCs w:val="28"/>
        </w:rPr>
        <w:t>,</w:t>
      </w:r>
      <w:r>
        <w:rPr>
          <w:rFonts w:ascii="Times New Roman" w:hAnsi="Times New Roman"/>
          <w:sz w:val="28"/>
        </w:rPr>
        <w:t xml:space="preserve"> 2024</w:t>
      </w:r>
      <w:r>
        <w:rPr>
          <w:rFonts w:ascii="Times New Roman" w:hAnsi="Times New Roman"/>
          <w:sz w:val="28"/>
          <w:szCs w:val="28"/>
        </w:rPr>
        <w:t xml:space="preserve"> и 2025</w:t>
      </w:r>
      <w:r>
        <w:rPr>
          <w:rFonts w:ascii="Times New Roman" w:hAnsi="Times New Roman"/>
          <w:sz w:val="28"/>
        </w:rPr>
        <w:t xml:space="preserve"> годы (в таком случае в отношении каждого счета указывается сумма поступивших на него в 2025 году денежных средств). </w:t>
      </w:r>
    </w:p>
    <w:p w14:paraId="55F29C3C">
      <w:pPr>
        <w:ind w:firstLine="567"/>
        <w:rPr>
          <w:rFonts w:ascii="Times New Roman" w:hAnsi="Times New Roman"/>
          <w:sz w:val="28"/>
        </w:rPr>
      </w:pPr>
      <w:r>
        <w:rPr>
          <w:rFonts w:ascii="Times New Roman" w:hAnsi="Times New Roman"/>
          <w:sz w:val="28"/>
        </w:rPr>
        <w:t>По счету в драгоценных металлах данная графа не заполняется.</w:t>
      </w:r>
    </w:p>
    <w:p w14:paraId="57608210">
      <w:pPr>
        <w:ind w:firstLine="567"/>
        <w:rPr>
          <w:rFonts w:ascii="Times New Roman" w:hAnsi="Times New Roman"/>
          <w:sz w:val="28"/>
        </w:rPr>
      </w:pPr>
      <w:r>
        <w:rPr>
          <w:rFonts w:ascii="Times New Roman" w:hAnsi="Times New Roman"/>
          <w:sz w:val="28"/>
        </w:rPr>
        <w:t xml:space="preserve">В случае если общая сумма денежных </w:t>
      </w:r>
      <w:r>
        <w:rPr>
          <w:rFonts w:ascii="Times New Roman" w:hAnsi="Times New Roman"/>
          <w:sz w:val="28"/>
          <w:szCs w:val="28"/>
        </w:rPr>
        <w:t>средств, поступивших</w:t>
      </w:r>
      <w:r>
        <w:rPr>
          <w:rFonts w:ascii="Times New Roman" w:hAnsi="Times New Roman"/>
          <w:sz w:val="28"/>
        </w:rPr>
        <w:t xml:space="preserve"> на </w:t>
      </w:r>
      <w:r>
        <w:rPr>
          <w:rFonts w:ascii="Times New Roman" w:hAnsi="Times New Roman"/>
          <w:sz w:val="28"/>
          <w:szCs w:val="28"/>
        </w:rPr>
        <w:t>счета за отчетный период,</w:t>
      </w:r>
      <w:r>
        <w:rPr>
          <w:rFonts w:ascii="Times New Roman" w:hAnsi="Times New Roman"/>
          <w:sz w:val="28"/>
        </w:rPr>
        <w:t xml:space="preserve"> не превышает общий доход служащего (работника</w:t>
      </w:r>
      <w:r>
        <w:rPr>
          <w:rFonts w:ascii="Times New Roman" w:hAnsi="Times New Roman"/>
          <w:sz w:val="28"/>
          <w:szCs w:val="28"/>
        </w:rPr>
        <w:t>),</w:t>
      </w:r>
      <w:r>
        <w:rPr>
          <w:rFonts w:ascii="Times New Roman" w:hAnsi="Times New Roman"/>
          <w:sz w:val="28"/>
        </w:rPr>
        <w:t xml:space="preserve"> его супруги (супруга)</w:t>
      </w:r>
      <w:r>
        <w:rPr>
          <w:rFonts w:ascii="Times New Roman" w:hAnsi="Times New Roman"/>
          <w:sz w:val="28"/>
          <w:szCs w:val="28"/>
        </w:rPr>
        <w:t xml:space="preserve"> и несовершеннолетних детей</w:t>
      </w:r>
      <w:r>
        <w:rPr>
          <w:rFonts w:ascii="Times New Roman" w:hAnsi="Times New Roman"/>
          <w:sz w:val="28"/>
        </w:rPr>
        <w:t xml:space="preserve"> за отчетный период и два предшествующих года, то в СПО "Справки БК" необходимо подтвердить данное обстоятельство путем проставления "флажка" [</w:t>
      </w:r>
      <w:r>
        <w:rPr>
          <w:rFonts w:ascii="Segoe UI Symbol" w:hAnsi="Segoe UI Symbol"/>
          <w:sz w:val="28"/>
        </w:rPr>
        <w:t>✓</w:t>
      </w:r>
      <w:r>
        <w:rPr>
          <w:rFonts w:ascii="Times New Roman" w:hAnsi="Times New Roman"/>
          <w:sz w:val="28"/>
        </w:rPr>
        <w:t xml:space="preserve">] напротив соответствующей позиции. В противном случае необходимо заполнить соответствующие графы в отношении всех счетов, указываемых в справке в отношении отдельного лица. </w:t>
      </w:r>
    </w:p>
    <w:p w14:paraId="16FDCBBB">
      <w:pPr>
        <w:pStyle w:val="193"/>
        <w:numPr>
          <w:ilvl w:val="0"/>
          <w:numId w:val="1"/>
        </w:numPr>
        <w:ind w:left="0" w:firstLine="567"/>
        <w:rPr>
          <w:rFonts w:ascii="Times New Roman" w:hAnsi="Times New Roman"/>
          <w:sz w:val="28"/>
          <w:szCs w:val="28"/>
        </w:rPr>
      </w:pPr>
      <w:r>
        <w:rPr>
          <w:rFonts w:ascii="Times New Roman" w:hAnsi="Times New Roman"/>
          <w:sz w:val="28"/>
        </w:rPr>
        <w:t>При расчете общего дохода служащего (работника</w:t>
      </w:r>
      <w:r>
        <w:rPr>
          <w:rFonts w:ascii="Times New Roman" w:hAnsi="Times New Roman"/>
          <w:sz w:val="28"/>
          <w:szCs w:val="28"/>
        </w:rPr>
        <w:t>),</w:t>
      </w:r>
      <w:r>
        <w:rPr>
          <w:rFonts w:ascii="Times New Roman" w:hAnsi="Times New Roman"/>
          <w:sz w:val="28"/>
        </w:rPr>
        <w:t xml:space="preserve"> его супруги (супруга)</w:t>
      </w:r>
      <w:r>
        <w:rPr>
          <w:rFonts w:ascii="Times New Roman" w:hAnsi="Times New Roman"/>
          <w:sz w:val="28"/>
          <w:szCs w:val="28"/>
        </w:rPr>
        <w:t xml:space="preserve"> и несовершеннолетних детей</w:t>
      </w:r>
      <w:r>
        <w:rPr>
          <w:rFonts w:ascii="Times New Roman" w:hAnsi="Times New Roman"/>
          <w:sz w:val="28"/>
        </w:rPr>
        <w:t xml:space="preserve"> за отчетный период и два предшествующих ему года, </w:t>
      </w:r>
      <w:r>
        <w:rPr>
          <w:rFonts w:ascii="Times New Roman" w:hAnsi="Times New Roman"/>
          <w:sz w:val="28"/>
          <w:szCs w:val="28"/>
        </w:rPr>
        <w:t xml:space="preserve">при расчете общего дохода учитываются доходы супруги (супруга) служащего (работника), полученные в период нахождения в браке (аналогично в отношении доходов служащего (работника). </w:t>
      </w:r>
    </w:p>
    <w:p w14:paraId="77705B91">
      <w:pPr>
        <w:pStyle w:val="193"/>
        <w:ind w:left="0" w:firstLine="567"/>
        <w:rPr>
          <w:rFonts w:ascii="Times New Roman" w:hAnsi="Times New Roman"/>
          <w:sz w:val="28"/>
          <w:szCs w:val="28"/>
        </w:rPr>
      </w:pPr>
      <w:r>
        <w:rPr>
          <w:rFonts w:ascii="Times New Roman" w:hAnsi="Times New Roman"/>
          <w:sz w:val="28"/>
          <w:szCs w:val="28"/>
        </w:rPr>
        <w:t>Также учету подлежат доходы ребенка, полученные им в соответствующий трехлетний период и до достижения совершеннолетия.</w:t>
      </w:r>
    </w:p>
    <w:p w14:paraId="4DC4B106">
      <w:pPr>
        <w:ind w:firstLine="567"/>
        <w:rPr>
          <w:rFonts w:ascii="Times New Roman" w:hAnsi="Times New Roman"/>
          <w:sz w:val="28"/>
        </w:rPr>
      </w:pPr>
      <w:r>
        <w:rPr>
          <w:rFonts w:ascii="Times New Roman" w:hAnsi="Times New Roman"/>
          <w:sz w:val="28"/>
        </w:rPr>
        <w:t xml:space="preserve">Лица, представляющие Сведения не в рамках декларационной кампании, в случае наличия оснований также заполняют данную графу. Так, например, для лиц, указанных в </w:t>
      </w:r>
      <w:r>
        <w:fldChar w:fldCharType="begin"/>
      </w:r>
      <w:r>
        <w:instrText xml:space="preserve"> HYPERLINK \l "Особенности" </w:instrText>
      </w:r>
      <w:r>
        <w:fldChar w:fldCharType="separate"/>
      </w:r>
      <w:r>
        <w:rPr>
          <w:rStyle w:val="17"/>
          <w:rFonts w:ascii="Times New Roman" w:hAnsi="Times New Roman"/>
          <w:sz w:val="28"/>
        </w:rPr>
        <w:t>пункте 2 настоящих Методических рекомендаций</w:t>
      </w:r>
      <w:r>
        <w:rPr>
          <w:rStyle w:val="17"/>
          <w:rFonts w:ascii="Times New Roman" w:hAnsi="Times New Roman"/>
          <w:sz w:val="28"/>
        </w:rPr>
        <w:fldChar w:fldCharType="end"/>
      </w:r>
      <w:r>
        <w:rPr>
          <w:rFonts w:ascii="Times New Roman" w:hAnsi="Times New Roman"/>
          <w:sz w:val="28"/>
        </w:rPr>
        <w:t xml:space="preserve">, впервые начинающих трудовую деятельность, например, после получения высшего образования, графа </w:t>
      </w:r>
      <w:r>
        <w:rPr>
          <w:rFonts w:ascii="Times New Roman" w:hAnsi="Times New Roman"/>
          <w:b/>
          <w:sz w:val="28"/>
        </w:rPr>
        <w:t>"Сумма поступивших на счет денежных средств</w:t>
      </w:r>
      <w:r>
        <w:rPr>
          <w:rFonts w:ascii="Times New Roman" w:hAnsi="Times New Roman"/>
          <w:b/>
          <w:sz w:val="28"/>
          <w:szCs w:val="28"/>
        </w:rPr>
        <w:t xml:space="preserve"> (руб.)"</w:t>
      </w:r>
      <w:r>
        <w:rPr>
          <w:rFonts w:ascii="Times New Roman" w:hAnsi="Times New Roman"/>
          <w:sz w:val="28"/>
        </w:rPr>
        <w:t xml:space="preserve"> часто подлежит заполнению в связи с незначительными доходами в предыдущие годы.</w:t>
      </w:r>
    </w:p>
    <w:p w14:paraId="0DC809E0">
      <w:pPr>
        <w:pStyle w:val="193"/>
        <w:ind w:left="0" w:firstLine="567"/>
        <w:rPr>
          <w:rFonts w:ascii="Times New Roman" w:hAnsi="Times New Roman"/>
          <w:sz w:val="28"/>
          <w:szCs w:val="28"/>
        </w:rPr>
      </w:pPr>
      <w:r>
        <w:rPr>
          <w:rFonts w:ascii="Times New Roman" w:hAnsi="Times New Roman"/>
          <w:sz w:val="28"/>
        </w:rPr>
        <w:t xml:space="preserve">Для счетов в иностранной валюте сумма указывается в рублях по курсу Банка России на отчетную дату (с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sz w:val="28"/>
        </w:rPr>
        <w:t>).</w:t>
      </w:r>
    </w:p>
    <w:p w14:paraId="184310FC">
      <w:pPr>
        <w:pStyle w:val="193"/>
        <w:numPr>
          <w:ilvl w:val="0"/>
          <w:numId w:val="1"/>
        </w:numPr>
        <w:ind w:left="0" w:firstLine="567"/>
        <w:rPr>
          <w:rFonts w:ascii="Times New Roman" w:hAnsi="Times New Roman"/>
          <w:b/>
          <w:sz w:val="28"/>
          <w:szCs w:val="28"/>
        </w:rPr>
      </w:pPr>
      <w:r>
        <w:rPr>
          <w:rFonts w:ascii="Times New Roman" w:hAnsi="Times New Roman"/>
          <w:b/>
          <w:sz w:val="28"/>
          <w:szCs w:val="28"/>
        </w:rPr>
        <w:t xml:space="preserve">Отдельные аспекты заполнения </w:t>
      </w:r>
      <w:r>
        <w:rPr>
          <w:rFonts w:ascii="Times New Roman" w:hAnsi="Times New Roman"/>
          <w:b/>
          <w:sz w:val="28"/>
        </w:rPr>
        <w:t>графы "Сумма поступивших на счет денежных средств</w:t>
      </w:r>
      <w:r>
        <w:rPr>
          <w:rFonts w:ascii="Times New Roman" w:hAnsi="Times New Roman"/>
          <w:b/>
          <w:sz w:val="28"/>
          <w:szCs w:val="28"/>
        </w:rPr>
        <w:t xml:space="preserve"> (руб.)":</w:t>
      </w:r>
    </w:p>
    <w:p w14:paraId="505A67AA">
      <w:pPr>
        <w:pStyle w:val="193"/>
        <w:ind w:left="0" w:firstLine="567"/>
        <w:rPr>
          <w:rFonts w:ascii="Times New Roman" w:hAnsi="Times New Roman"/>
          <w:sz w:val="28"/>
          <w:szCs w:val="28"/>
        </w:rPr>
      </w:pPr>
      <w:r>
        <w:rPr>
          <w:rFonts w:ascii="Times New Roman" w:hAnsi="Times New Roman"/>
          <w:sz w:val="28"/>
          <w:szCs w:val="28"/>
        </w:rPr>
        <w:t>1) с общим доходом служащего (работника), его супруги (супруга) и несовершеннолетних детей за отчетный период и два предшествующих года сравнивается общая сумма денежных средств, поступивших на открытые по состоянию на отчетную дату счета, информация о которых содержится отдельно в справке в отношении служащего (работника), отдельно в справке в отношении его супруги (супруга), отдельно в справке в отношении его несовершеннолетнего ребенка.</w:t>
      </w:r>
    </w:p>
    <w:p w14:paraId="0283AF02">
      <w:pPr>
        <w:pStyle w:val="193"/>
        <w:ind w:left="0" w:firstLine="567"/>
        <w:rPr>
          <w:rFonts w:ascii="Times New Roman" w:hAnsi="Times New Roman"/>
          <w:sz w:val="28"/>
          <w:szCs w:val="28"/>
        </w:rPr>
      </w:pPr>
      <w:r>
        <w:rPr>
          <w:rFonts w:ascii="Times New Roman" w:hAnsi="Times New Roman"/>
          <w:sz w:val="28"/>
          <w:szCs w:val="28"/>
        </w:rPr>
        <w:t>2) сумма денежных средств, поступивших на закрытые по состоянию на отчетную дату счета, не учитывается;</w:t>
      </w:r>
    </w:p>
    <w:p w14:paraId="4E29476A">
      <w:pPr>
        <w:pStyle w:val="193"/>
        <w:ind w:left="0" w:firstLine="567"/>
        <w:rPr>
          <w:rFonts w:ascii="Times New Roman" w:hAnsi="Times New Roman"/>
          <w:sz w:val="28"/>
          <w:szCs w:val="28"/>
        </w:rPr>
      </w:pPr>
      <w:r>
        <w:rPr>
          <w:rFonts w:ascii="Times New Roman" w:hAnsi="Times New Roman"/>
          <w:sz w:val="28"/>
          <w:szCs w:val="28"/>
        </w:rPr>
        <w:t>3) в денежные средства, поступившие на счета, не включаются отдельные зачисления, которые являются следствием перераспределения между другими счетами служащего (работника), его супруги (супруга) и несовершеннолетних детей и характеризуют оборот денежных средств по счетам (например, не учитываются денежные средства, перечисленные со счета служащего (работника) на счет его супруги (супруга); аналогично в отношении ситуаций, связанных со счетами несовершеннолетних детей);</w:t>
      </w:r>
    </w:p>
    <w:p w14:paraId="22FB45E5">
      <w:pPr>
        <w:pStyle w:val="193"/>
        <w:ind w:left="0" w:firstLine="567"/>
        <w:rPr>
          <w:rFonts w:ascii="Times New Roman" w:hAnsi="Times New Roman"/>
          <w:sz w:val="28"/>
          <w:szCs w:val="28"/>
        </w:rPr>
      </w:pPr>
      <w:r>
        <w:rPr>
          <w:rFonts w:ascii="Times New Roman" w:hAnsi="Times New Roman"/>
          <w:sz w:val="28"/>
          <w:szCs w:val="28"/>
        </w:rPr>
        <w:t>4) денежные средства, поступившие на счет, могут не являться доходом в целях представления Сведений, как следствие, не указываться в разделе 1 справки, но при этом учитываться для целей раздела 4 справки (например, в сумме денежных средств, поступивших на счет, учитываются возврат денежных средств по несостоявшемуся договору купли-продажи, денежные средства, полученные в качестве кредита и др.);</w:t>
      </w:r>
    </w:p>
    <w:p w14:paraId="09676C1C">
      <w:pPr>
        <w:pStyle w:val="193"/>
        <w:ind w:left="0" w:firstLine="567"/>
        <w:rPr>
          <w:rFonts w:ascii="Times New Roman" w:hAnsi="Times New Roman"/>
          <w:sz w:val="28"/>
          <w:szCs w:val="28"/>
        </w:rPr>
      </w:pPr>
      <w:r>
        <w:rPr>
          <w:rFonts w:ascii="Times New Roman" w:hAnsi="Times New Roman"/>
          <w:sz w:val="28"/>
          <w:szCs w:val="28"/>
        </w:rPr>
        <w:t>5) в сумме денежных средств, поступивших на счет, учитываются денежные средства, зачисленные с помощью банкомата (кассы), даже в случае, если ранее аналогичная денежная сумма снята со счета.</w:t>
      </w:r>
    </w:p>
    <w:p w14:paraId="44CCEAEB">
      <w:pPr>
        <w:pStyle w:val="193"/>
        <w:ind w:left="0" w:firstLine="567"/>
        <w:rPr>
          <w:rFonts w:ascii="Times New Roman" w:hAnsi="Times New Roman"/>
          <w:sz w:val="28"/>
          <w:szCs w:val="28"/>
        </w:rPr>
      </w:pPr>
    </w:p>
    <w:p w14:paraId="063C3A3E">
      <w:pPr>
        <w:pStyle w:val="193"/>
        <w:ind w:left="0" w:firstLine="567"/>
        <w:rPr>
          <w:rFonts w:ascii="Times New Roman" w:hAnsi="Times New Roman"/>
          <w:iCs/>
          <w:sz w:val="28"/>
          <w:szCs w:val="28"/>
        </w:rPr>
      </w:pPr>
      <w:r>
        <w:rPr>
          <w:rFonts w:ascii="Times New Roman" w:hAnsi="Times New Roman"/>
          <w:sz w:val="28"/>
          <w:szCs w:val="28"/>
        </w:rPr>
        <w:t>Перечень возможных на практике ситуаций (таблица № 6):</w:t>
      </w:r>
    </w:p>
    <w:tbl>
      <w:tblPr>
        <w:tblStyle w:val="4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autofit"/>
        <w:tblCellMar>
          <w:top w:w="0" w:type="dxa"/>
          <w:left w:w="108" w:type="dxa"/>
          <w:bottom w:w="0" w:type="dxa"/>
          <w:right w:w="108" w:type="dxa"/>
        </w:tblCellMar>
      </w:tblPr>
      <w:tblGrid>
        <w:gridCol w:w="10195"/>
      </w:tblGrid>
      <w:tr w14:paraId="47B66B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195" w:type="dxa"/>
            <w:shd w:val="clear" w:color="auto" w:fill="FFFFFF" w:themeFill="background1"/>
          </w:tcPr>
          <w:p w14:paraId="4F930A01">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По состоянию на отчетную дату и в течение отчетного периода у служащего (работника) открыто два счета, а у его супруги (супруга) – три; у несовершеннолетних детей счета отсутствуют.</w:t>
            </w:r>
          </w:p>
          <w:p w14:paraId="56F3AC04">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В течение отчетного периода на счета служащего (работника) поступило 300 тыс. руб., а на счета его супруги (супруга) – 500 тыс. руб.</w:t>
            </w:r>
          </w:p>
          <w:p w14:paraId="5D1B059F">
            <w:pPr>
              <w:tabs>
                <w:tab w:val="left" w:pos="454"/>
                <w:tab w:val="left" w:pos="9390"/>
              </w:tabs>
              <w:ind w:firstLine="0"/>
              <w:rPr>
                <w:rFonts w:ascii="Times New Roman" w:hAnsi="Times New Roman"/>
                <w:iCs/>
                <w:sz w:val="28"/>
                <w:szCs w:val="28"/>
              </w:rPr>
            </w:pPr>
            <w:r>
              <w:rPr>
                <w:rFonts w:ascii="Times New Roman" w:hAnsi="Times New Roman"/>
                <w:iCs/>
                <w:sz w:val="28"/>
                <w:szCs w:val="28"/>
              </w:rPr>
              <w:t>Общий доход служащего (работника), его супруги (супруга) и несовершеннолетних детей за отчетный период и два предшествующих года (далее в таблице № 5 – совокупный доход) составляет 6000 тыс. руб.</w:t>
            </w:r>
          </w:p>
          <w:p w14:paraId="70B37B60">
            <w:pPr>
              <w:tabs>
                <w:tab w:val="left" w:pos="454"/>
                <w:tab w:val="left" w:pos="9390"/>
              </w:tabs>
              <w:ind w:firstLine="0"/>
              <w:rPr>
                <w:rFonts w:ascii="Times New Roman" w:hAnsi="Times New Roman"/>
                <w:iCs/>
                <w:sz w:val="28"/>
                <w:szCs w:val="28"/>
              </w:rPr>
            </w:pPr>
            <w:r>
              <w:rPr>
                <w:rFonts w:ascii="Times New Roman" w:hAnsi="Times New Roman"/>
                <w:iCs/>
                <w:sz w:val="28"/>
                <w:szCs w:val="28"/>
              </w:rPr>
              <w:t>В данном примере:</w:t>
            </w:r>
          </w:p>
          <w:p w14:paraId="3091112E">
            <w:pPr>
              <w:pStyle w:val="193"/>
              <w:numPr>
                <w:ilvl w:val="0"/>
                <w:numId w:val="6"/>
              </w:numPr>
              <w:tabs>
                <w:tab w:val="left" w:pos="454"/>
                <w:tab w:val="left" w:pos="9390"/>
              </w:tabs>
              <w:ind w:left="0" w:firstLine="0"/>
              <w:rPr>
                <w:rFonts w:ascii="Times New Roman" w:hAnsi="Times New Roman"/>
                <w:iCs/>
                <w:sz w:val="28"/>
                <w:szCs w:val="28"/>
              </w:rPr>
            </w:pPr>
            <w:r>
              <w:rPr>
                <w:rFonts w:ascii="Times New Roman" w:hAnsi="Times New Roman"/>
                <w:iCs/>
                <w:sz w:val="28"/>
                <w:szCs w:val="28"/>
              </w:rPr>
              <w:t xml:space="preserve">графа </w:t>
            </w:r>
            <w:r>
              <w:rPr>
                <w:rFonts w:ascii="Times New Roman" w:hAnsi="Times New Roman"/>
                <w:b/>
                <w:sz w:val="28"/>
              </w:rPr>
              <w:t>"Сумма поступивших на счет денежных средств (руб.)"</w:t>
            </w:r>
            <w:r>
              <w:rPr>
                <w:rFonts w:ascii="Times New Roman" w:hAnsi="Times New Roman"/>
                <w:iCs/>
                <w:sz w:val="28"/>
                <w:szCs w:val="28"/>
              </w:rPr>
              <w:t xml:space="preserve"> раздела 4 справки в отношении служащего (работника) не заполняется;</w:t>
            </w:r>
          </w:p>
          <w:p w14:paraId="484CDC90">
            <w:pPr>
              <w:pStyle w:val="193"/>
              <w:numPr>
                <w:ilvl w:val="0"/>
                <w:numId w:val="6"/>
              </w:numPr>
              <w:tabs>
                <w:tab w:val="left" w:pos="454"/>
                <w:tab w:val="left" w:pos="9390"/>
              </w:tabs>
              <w:ind w:left="0" w:firstLine="0"/>
              <w:rPr>
                <w:rFonts w:ascii="Times New Roman" w:hAnsi="Times New Roman"/>
                <w:iCs/>
                <w:sz w:val="28"/>
                <w:szCs w:val="28"/>
              </w:rPr>
            </w:pPr>
            <w:r>
              <w:rPr>
                <w:rFonts w:ascii="Times New Roman" w:hAnsi="Times New Roman"/>
                <w:iCs/>
                <w:sz w:val="28"/>
                <w:szCs w:val="28"/>
              </w:rPr>
              <w:t xml:space="preserve">графа </w:t>
            </w:r>
            <w:r>
              <w:rPr>
                <w:rFonts w:ascii="Times New Roman" w:hAnsi="Times New Roman"/>
                <w:b/>
                <w:sz w:val="28"/>
              </w:rPr>
              <w:t>"Сумма поступивших на счет денежных средств (руб.)"</w:t>
            </w:r>
            <w:r>
              <w:rPr>
                <w:rFonts w:ascii="Times New Roman" w:hAnsi="Times New Roman"/>
                <w:iCs/>
                <w:sz w:val="28"/>
                <w:szCs w:val="28"/>
              </w:rPr>
              <w:t xml:space="preserve"> раздела 4 справки в отношении его супруги (супруга) также не заполняется. </w:t>
            </w:r>
          </w:p>
        </w:tc>
      </w:tr>
      <w:tr w14:paraId="5D9C0E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c>
          <w:tcPr>
            <w:tcW w:w="10195" w:type="dxa"/>
            <w:shd w:val="clear" w:color="auto" w:fill="FFFFFF" w:themeFill="background1"/>
          </w:tcPr>
          <w:p w14:paraId="420A6C06">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По состоянию на отчетную дату и в течение отчетного периода у служащего (работника) открыто три счета.</w:t>
            </w:r>
          </w:p>
          <w:p w14:paraId="24DF05D6">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 xml:space="preserve">В течение отчетного периода на счет "А" поступило 500 тыс. руб. Впоследствии </w:t>
            </w:r>
            <w:r>
              <w:rPr>
                <w:rFonts w:ascii="Times New Roman" w:hAnsi="Times New Roman"/>
                <w:iCs/>
                <w:sz w:val="28"/>
                <w:szCs w:val="28"/>
              </w:rPr>
              <w:br w:type="textWrapping"/>
            </w:r>
            <w:r>
              <w:rPr>
                <w:rFonts w:ascii="Times New Roman" w:hAnsi="Times New Roman"/>
                <w:iCs/>
                <w:sz w:val="28"/>
                <w:szCs w:val="28"/>
              </w:rPr>
              <w:t xml:space="preserve">со счета "А" на счета "Б" и "В" переведены денежные средства: 300 тыс. руб. </w:t>
            </w:r>
            <w:r>
              <w:rPr>
                <w:rFonts w:ascii="Times New Roman" w:hAnsi="Times New Roman"/>
                <w:iCs/>
                <w:sz w:val="28"/>
                <w:szCs w:val="28"/>
              </w:rPr>
              <w:br w:type="textWrapping"/>
            </w:r>
            <w:r>
              <w:rPr>
                <w:rFonts w:ascii="Times New Roman" w:hAnsi="Times New Roman"/>
                <w:iCs/>
                <w:sz w:val="28"/>
                <w:szCs w:val="28"/>
              </w:rPr>
              <w:t>и 100 тыс. руб. соответственно.</w:t>
            </w:r>
          </w:p>
          <w:p w14:paraId="1AEFAC8D">
            <w:pPr>
              <w:tabs>
                <w:tab w:val="left" w:pos="454"/>
                <w:tab w:val="left" w:pos="9390"/>
              </w:tabs>
              <w:ind w:firstLine="0"/>
              <w:rPr>
                <w:rFonts w:ascii="Times New Roman" w:hAnsi="Times New Roman"/>
                <w:iCs/>
                <w:sz w:val="28"/>
                <w:szCs w:val="28"/>
              </w:rPr>
            </w:pPr>
            <w:r>
              <w:rPr>
                <w:rFonts w:ascii="Times New Roman" w:hAnsi="Times New Roman"/>
                <w:iCs/>
                <w:sz w:val="28"/>
                <w:szCs w:val="28"/>
              </w:rPr>
              <w:t>В данном примере:</w:t>
            </w:r>
          </w:p>
          <w:p w14:paraId="77BB4D79">
            <w:pPr>
              <w:pStyle w:val="193"/>
              <w:numPr>
                <w:ilvl w:val="0"/>
                <w:numId w:val="7"/>
              </w:numPr>
              <w:tabs>
                <w:tab w:val="left" w:pos="454"/>
                <w:tab w:val="left" w:pos="9390"/>
              </w:tabs>
              <w:ind w:left="0" w:firstLine="0"/>
              <w:rPr>
                <w:rFonts w:ascii="Times New Roman" w:hAnsi="Times New Roman"/>
                <w:iCs/>
                <w:sz w:val="28"/>
                <w:szCs w:val="28"/>
              </w:rPr>
            </w:pPr>
            <w:r>
              <w:rPr>
                <w:rFonts w:ascii="Times New Roman" w:hAnsi="Times New Roman"/>
                <w:iCs/>
                <w:sz w:val="28"/>
                <w:szCs w:val="28"/>
              </w:rPr>
              <w:t>перераспределение (оборот) денежных средств по счетам составил 900 тыс. руб.;</w:t>
            </w:r>
          </w:p>
          <w:p w14:paraId="67981A42">
            <w:pPr>
              <w:pStyle w:val="193"/>
              <w:numPr>
                <w:ilvl w:val="0"/>
                <w:numId w:val="7"/>
              </w:numPr>
              <w:tabs>
                <w:tab w:val="left" w:pos="454"/>
                <w:tab w:val="left" w:pos="9390"/>
              </w:tabs>
              <w:ind w:left="0" w:firstLine="0"/>
              <w:rPr>
                <w:rFonts w:ascii="Times New Roman" w:hAnsi="Times New Roman"/>
                <w:iCs/>
                <w:sz w:val="28"/>
                <w:szCs w:val="28"/>
              </w:rPr>
            </w:pPr>
            <w:r>
              <w:rPr>
                <w:rFonts w:ascii="Times New Roman" w:hAnsi="Times New Roman"/>
                <w:iCs/>
                <w:sz w:val="28"/>
                <w:szCs w:val="28"/>
              </w:rPr>
              <w:t>сумма денежных средств, поступивших на счета, – 500 тыс. руб.</w:t>
            </w:r>
          </w:p>
          <w:p w14:paraId="51344731">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 xml:space="preserve">Таким образом, для целей определения необходимости заполнения графы </w:t>
            </w:r>
            <w:r>
              <w:rPr>
                <w:rFonts w:ascii="Times New Roman" w:hAnsi="Times New Roman"/>
                <w:b/>
                <w:sz w:val="28"/>
              </w:rPr>
              <w:t>"Сумма поступивших на счет денежных средств (руб.)"</w:t>
            </w:r>
            <w:r>
              <w:rPr>
                <w:rFonts w:ascii="Times New Roman" w:hAnsi="Times New Roman"/>
                <w:iCs/>
                <w:sz w:val="28"/>
                <w:szCs w:val="28"/>
              </w:rPr>
              <w:t xml:space="preserve"> раздела 4 справки необходимо сравнивать совокупный доход с 500 тыс. руб.</w:t>
            </w:r>
          </w:p>
        </w:tc>
      </w:tr>
      <w:tr w14:paraId="4F6B4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c>
          <w:tcPr>
            <w:tcW w:w="10195" w:type="dxa"/>
            <w:shd w:val="clear" w:color="auto" w:fill="FFFFFF" w:themeFill="background1"/>
          </w:tcPr>
          <w:p w14:paraId="79D2EA73">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По состоянию на отчетную дату и в течение отчетного периода у служащего (работника) открыто два счета.</w:t>
            </w:r>
          </w:p>
          <w:p w14:paraId="2B794061">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 xml:space="preserve">В течение отчетного периода на счет "А" поступило 400 тыс. руб.; на счет "Б" – </w:t>
            </w:r>
            <w:r>
              <w:rPr>
                <w:rFonts w:ascii="Times New Roman" w:hAnsi="Times New Roman"/>
                <w:iCs/>
                <w:sz w:val="28"/>
                <w:szCs w:val="28"/>
              </w:rPr>
              <w:br w:type="textWrapping"/>
            </w:r>
            <w:r>
              <w:rPr>
                <w:rFonts w:ascii="Times New Roman" w:hAnsi="Times New Roman"/>
                <w:iCs/>
                <w:sz w:val="28"/>
                <w:szCs w:val="28"/>
              </w:rPr>
              <w:t>300 тыс. руб.</w:t>
            </w:r>
          </w:p>
          <w:p w14:paraId="65A793CA">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 xml:space="preserve">Сначала со счета "А" на счет "Б" переведены 200 тыс. руб., потом со счета "Б" </w:t>
            </w:r>
            <w:r>
              <w:rPr>
                <w:rFonts w:ascii="Times New Roman" w:hAnsi="Times New Roman"/>
                <w:iCs/>
                <w:sz w:val="28"/>
                <w:szCs w:val="28"/>
              </w:rPr>
              <w:br w:type="textWrapping"/>
            </w:r>
            <w:r>
              <w:rPr>
                <w:rFonts w:ascii="Times New Roman" w:hAnsi="Times New Roman"/>
                <w:iCs/>
                <w:sz w:val="28"/>
                <w:szCs w:val="28"/>
              </w:rPr>
              <w:t>на счет "А" – 500 тыс. руб.</w:t>
            </w:r>
          </w:p>
          <w:p w14:paraId="68DDA251">
            <w:pPr>
              <w:tabs>
                <w:tab w:val="left" w:pos="454"/>
                <w:tab w:val="left" w:pos="9390"/>
              </w:tabs>
              <w:ind w:firstLine="0"/>
              <w:rPr>
                <w:rFonts w:ascii="Times New Roman" w:hAnsi="Times New Roman"/>
                <w:iCs/>
                <w:sz w:val="28"/>
                <w:szCs w:val="28"/>
              </w:rPr>
            </w:pPr>
            <w:r>
              <w:rPr>
                <w:rFonts w:ascii="Times New Roman" w:hAnsi="Times New Roman"/>
                <w:iCs/>
                <w:sz w:val="28"/>
                <w:szCs w:val="28"/>
              </w:rPr>
              <w:t>В данном примере:</w:t>
            </w:r>
          </w:p>
          <w:p w14:paraId="19A8F9E2">
            <w:pPr>
              <w:pStyle w:val="193"/>
              <w:numPr>
                <w:ilvl w:val="0"/>
                <w:numId w:val="8"/>
              </w:numPr>
              <w:tabs>
                <w:tab w:val="left" w:pos="454"/>
                <w:tab w:val="left" w:pos="9390"/>
              </w:tabs>
              <w:ind w:left="0" w:firstLine="0"/>
              <w:rPr>
                <w:rFonts w:ascii="Times New Roman" w:hAnsi="Times New Roman"/>
                <w:iCs/>
                <w:sz w:val="28"/>
                <w:szCs w:val="28"/>
              </w:rPr>
            </w:pPr>
            <w:r>
              <w:rPr>
                <w:rFonts w:ascii="Times New Roman" w:hAnsi="Times New Roman"/>
                <w:iCs/>
                <w:sz w:val="28"/>
                <w:szCs w:val="28"/>
              </w:rPr>
              <w:t>перераспределение (оборот) денежных средств по счетам составил 1400 тыс. руб.;</w:t>
            </w:r>
          </w:p>
          <w:p w14:paraId="028721A1">
            <w:pPr>
              <w:pStyle w:val="193"/>
              <w:numPr>
                <w:ilvl w:val="0"/>
                <w:numId w:val="8"/>
              </w:numPr>
              <w:tabs>
                <w:tab w:val="left" w:pos="454"/>
                <w:tab w:val="left" w:pos="9390"/>
              </w:tabs>
              <w:ind w:left="0" w:firstLine="0"/>
              <w:rPr>
                <w:rFonts w:ascii="Times New Roman" w:hAnsi="Times New Roman"/>
                <w:iCs/>
                <w:sz w:val="28"/>
                <w:szCs w:val="28"/>
              </w:rPr>
            </w:pPr>
            <w:r>
              <w:rPr>
                <w:rFonts w:ascii="Times New Roman" w:hAnsi="Times New Roman"/>
                <w:iCs/>
                <w:sz w:val="28"/>
                <w:szCs w:val="28"/>
              </w:rPr>
              <w:t>сумма денежных средств, поступивших на счета, – 700 тыс. руб.</w:t>
            </w:r>
          </w:p>
          <w:p w14:paraId="1521DEC1">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 xml:space="preserve">Таким образом, для целей определения необходимости заполнения графы </w:t>
            </w:r>
            <w:r>
              <w:rPr>
                <w:rFonts w:ascii="Times New Roman" w:hAnsi="Times New Roman"/>
                <w:b/>
                <w:sz w:val="28"/>
              </w:rPr>
              <w:t>"Сумма поступивших на счет денежных средств (руб.)"</w:t>
            </w:r>
            <w:r>
              <w:rPr>
                <w:rFonts w:ascii="Times New Roman" w:hAnsi="Times New Roman"/>
                <w:iCs/>
                <w:sz w:val="28"/>
                <w:szCs w:val="28"/>
              </w:rPr>
              <w:t xml:space="preserve"> раздела 4 справки необходимо сравнивать совокупный доход с 700 тыс. руб.</w:t>
            </w:r>
          </w:p>
        </w:tc>
      </w:tr>
      <w:tr w14:paraId="154375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5" w:type="dxa"/>
            <w:shd w:val="clear" w:color="auto" w:fill="FFFFFF" w:themeFill="background1"/>
          </w:tcPr>
          <w:p w14:paraId="4D0D2207">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По состоянию на отчетную дату и в течение отчетного периода у служащего (работника) открыто два счета.</w:t>
            </w:r>
          </w:p>
          <w:p w14:paraId="0BDF49D4">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 xml:space="preserve">В течение отчетного периода на счет "А" поступило 500 тыс. руб. Впоследствии </w:t>
            </w:r>
            <w:r>
              <w:rPr>
                <w:rFonts w:ascii="Times New Roman" w:hAnsi="Times New Roman"/>
                <w:iCs/>
                <w:sz w:val="28"/>
                <w:szCs w:val="28"/>
              </w:rPr>
              <w:br w:type="textWrapping"/>
            </w:r>
            <w:r>
              <w:rPr>
                <w:rFonts w:ascii="Times New Roman" w:hAnsi="Times New Roman"/>
                <w:iCs/>
                <w:sz w:val="28"/>
                <w:szCs w:val="28"/>
              </w:rPr>
              <w:t>со счета "А" в банкомате сняли 500 тыс. руб. и зачислили их также с помощью банкомата на счет "Б".</w:t>
            </w:r>
          </w:p>
          <w:p w14:paraId="101FF0FB">
            <w:pPr>
              <w:tabs>
                <w:tab w:val="left" w:pos="454"/>
                <w:tab w:val="left" w:pos="9390"/>
              </w:tabs>
              <w:ind w:firstLine="0"/>
              <w:rPr>
                <w:rFonts w:ascii="Times New Roman" w:hAnsi="Times New Roman"/>
                <w:iCs/>
                <w:sz w:val="28"/>
                <w:szCs w:val="28"/>
              </w:rPr>
            </w:pPr>
            <w:r>
              <w:rPr>
                <w:rFonts w:ascii="Times New Roman" w:hAnsi="Times New Roman"/>
                <w:iCs/>
                <w:sz w:val="28"/>
                <w:szCs w:val="28"/>
              </w:rPr>
              <w:t>В данном примере:</w:t>
            </w:r>
          </w:p>
          <w:p w14:paraId="346C920B">
            <w:pPr>
              <w:pStyle w:val="193"/>
              <w:numPr>
                <w:ilvl w:val="0"/>
                <w:numId w:val="9"/>
              </w:numPr>
              <w:tabs>
                <w:tab w:val="left" w:pos="454"/>
                <w:tab w:val="left" w:pos="9390"/>
              </w:tabs>
              <w:ind w:left="0" w:firstLine="0"/>
              <w:rPr>
                <w:rFonts w:ascii="Times New Roman" w:hAnsi="Times New Roman"/>
                <w:iCs/>
                <w:sz w:val="28"/>
                <w:szCs w:val="28"/>
              </w:rPr>
            </w:pPr>
            <w:r>
              <w:rPr>
                <w:rFonts w:ascii="Times New Roman" w:hAnsi="Times New Roman"/>
                <w:iCs/>
                <w:sz w:val="28"/>
                <w:szCs w:val="28"/>
              </w:rPr>
              <w:t>перераспределение (оборот) денежных средств по счетам составил 1000 тыс. руб.;</w:t>
            </w:r>
          </w:p>
          <w:p w14:paraId="442B8710">
            <w:pPr>
              <w:pStyle w:val="193"/>
              <w:numPr>
                <w:ilvl w:val="0"/>
                <w:numId w:val="9"/>
              </w:numPr>
              <w:tabs>
                <w:tab w:val="left" w:pos="454"/>
                <w:tab w:val="left" w:pos="9390"/>
              </w:tabs>
              <w:ind w:left="0" w:firstLine="0"/>
              <w:rPr>
                <w:rFonts w:ascii="Times New Roman" w:hAnsi="Times New Roman"/>
                <w:iCs/>
                <w:sz w:val="28"/>
                <w:szCs w:val="28"/>
              </w:rPr>
            </w:pPr>
            <w:r>
              <w:rPr>
                <w:rFonts w:ascii="Times New Roman" w:hAnsi="Times New Roman"/>
                <w:iCs/>
                <w:sz w:val="28"/>
                <w:szCs w:val="28"/>
              </w:rPr>
              <w:t>сумма денежных средств, поступивших на счета, – 1000 тыс. руб.</w:t>
            </w:r>
          </w:p>
          <w:p w14:paraId="54E94D33">
            <w:pPr>
              <w:pStyle w:val="193"/>
              <w:tabs>
                <w:tab w:val="left" w:pos="454"/>
                <w:tab w:val="left" w:pos="9390"/>
              </w:tabs>
              <w:ind w:left="0" w:firstLine="0"/>
              <w:rPr>
                <w:rFonts w:ascii="Times New Roman" w:hAnsi="Times New Roman"/>
                <w:iCs/>
                <w:sz w:val="28"/>
                <w:szCs w:val="28"/>
              </w:rPr>
            </w:pPr>
            <w:r>
              <w:rPr>
                <w:rFonts w:ascii="Times New Roman" w:hAnsi="Times New Roman"/>
                <w:iCs/>
                <w:sz w:val="28"/>
                <w:szCs w:val="28"/>
              </w:rPr>
              <w:t xml:space="preserve">Таким образом, для целей определения необходимости заполнения графы </w:t>
            </w:r>
            <w:r>
              <w:rPr>
                <w:rFonts w:ascii="Times New Roman" w:hAnsi="Times New Roman"/>
                <w:b/>
                <w:sz w:val="28"/>
              </w:rPr>
              <w:t>"Сумма поступивших на счет денежных средств (руб.)"</w:t>
            </w:r>
            <w:r>
              <w:rPr>
                <w:rFonts w:ascii="Times New Roman" w:hAnsi="Times New Roman"/>
                <w:iCs/>
                <w:sz w:val="28"/>
                <w:szCs w:val="28"/>
              </w:rPr>
              <w:t xml:space="preserve"> раздела 4 справки необходимо сравнивать совокупный доход с 1000 тыс. руб.</w:t>
            </w:r>
          </w:p>
        </w:tc>
      </w:tr>
    </w:tbl>
    <w:p w14:paraId="1BFE1CE9">
      <w:pPr>
        <w:pStyle w:val="193"/>
        <w:ind w:left="0" w:firstLine="567"/>
        <w:rPr>
          <w:rFonts w:ascii="Times New Roman" w:hAnsi="Times New Roman"/>
          <w:sz w:val="28"/>
          <w:szCs w:val="28"/>
        </w:rPr>
      </w:pPr>
    </w:p>
    <w:p w14:paraId="73970D09">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Заполнение </w:t>
      </w:r>
      <w:r>
        <w:rPr>
          <w:rFonts w:ascii="Times New Roman" w:hAnsi="Times New Roman"/>
          <w:sz w:val="28"/>
        </w:rPr>
        <w:t>графы</w:t>
      </w:r>
      <w:r>
        <w:rPr>
          <w:rFonts w:ascii="Times New Roman" w:hAnsi="Times New Roman"/>
          <w:b/>
          <w:sz w:val="28"/>
        </w:rPr>
        <w:t xml:space="preserve"> "Сумма поступивших на счет денежных средств</w:t>
      </w:r>
      <w:r>
        <w:rPr>
          <w:rFonts w:ascii="Times New Roman" w:hAnsi="Times New Roman"/>
          <w:b/>
          <w:sz w:val="28"/>
          <w:szCs w:val="28"/>
        </w:rPr>
        <w:t xml:space="preserve"> (руб.)" </w:t>
      </w:r>
      <w:r>
        <w:rPr>
          <w:rFonts w:ascii="Times New Roman" w:hAnsi="Times New Roman"/>
          <w:sz w:val="28"/>
          <w:szCs w:val="28"/>
        </w:rPr>
        <w:t>при отсутствии оснований не является нарушением.</w:t>
      </w:r>
    </w:p>
    <w:p w14:paraId="097B609B">
      <w:pPr>
        <w:pStyle w:val="4"/>
        <w:rPr>
          <w:b w:val="0"/>
        </w:rPr>
      </w:pPr>
      <w:bookmarkStart w:id="63" w:name="_Toc225936089"/>
      <w:r>
        <w:t>Совместный счет</w:t>
      </w:r>
      <w:bookmarkEnd w:id="63"/>
    </w:p>
    <w:p w14:paraId="11B11765">
      <w:pPr>
        <w:pStyle w:val="193"/>
        <w:numPr>
          <w:ilvl w:val="0"/>
          <w:numId w:val="1"/>
        </w:numPr>
        <w:ind w:left="0" w:firstLine="567"/>
        <w:rPr>
          <w:rFonts w:ascii="Times New Roman" w:hAnsi="Times New Roman"/>
          <w:sz w:val="28"/>
          <w:szCs w:val="28"/>
        </w:rPr>
      </w:pPr>
      <w:r>
        <w:rPr>
          <w:rFonts w:ascii="Times New Roman" w:hAnsi="Times New Roman"/>
          <w:sz w:val="28"/>
          <w:szCs w:val="28"/>
        </w:rPr>
        <w:t>В случае заключения договора банковского счета с несколькими клиентами (совместный счет) права на денежные средства, находящиеся на таком счете, считаются принадлежащими таким лицам в долях, определяемых пропорционально суммам денежных средств, внесенных каждым из клиентов или третьими лицами в пользу каждого из клиентов, если иное не предусмотрено договором банковского счета (договором установлена непропорциональность).</w:t>
      </w:r>
    </w:p>
    <w:p w14:paraId="51DB3C2E">
      <w:pPr>
        <w:pStyle w:val="193"/>
        <w:ind w:left="0" w:firstLine="567"/>
        <w:rPr>
          <w:rStyle w:val="191"/>
          <w:rFonts w:ascii="Times New Roman" w:hAnsi="Times New Roman" w:cs="Times New Roman"/>
          <w:sz w:val="28"/>
          <w:szCs w:val="28"/>
        </w:rPr>
      </w:pPr>
      <w:r>
        <w:rPr>
          <w:rStyle w:val="191"/>
          <w:rFonts w:ascii="Times New Roman" w:hAnsi="Times New Roman" w:cs="Times New Roman"/>
          <w:sz w:val="28"/>
          <w:szCs w:val="28"/>
        </w:rPr>
        <w:t>В случае, когда договор банковского счета заключен клиентами-супругами, права на денежные средства, находящиеся на совместном счете, являются общими правами клиентов-супругов, если иное не предусмотрено брачным договором, о заключении которого клиенты-супруги уведомили банк.</w:t>
      </w:r>
    </w:p>
    <w:p w14:paraId="62A09D48">
      <w:pPr>
        <w:pStyle w:val="193"/>
        <w:ind w:left="0" w:firstLine="567"/>
        <w:rPr>
          <w:rStyle w:val="191"/>
          <w:rFonts w:ascii="Times New Roman" w:hAnsi="Times New Roman" w:cs="Times New Roman"/>
          <w:sz w:val="28"/>
          <w:szCs w:val="28"/>
        </w:rPr>
      </w:pPr>
      <w:r>
        <w:rPr>
          <w:rStyle w:val="191"/>
          <w:rFonts w:ascii="Times New Roman" w:hAnsi="Times New Roman" w:cs="Times New Roman"/>
          <w:sz w:val="28"/>
          <w:szCs w:val="28"/>
        </w:rPr>
        <w:t>В данном случае в каждой подаваемой справке представляется идентичная информация о таком счете.</w:t>
      </w:r>
    </w:p>
    <w:p w14:paraId="46BEB490">
      <w:pPr>
        <w:pStyle w:val="193"/>
        <w:ind w:left="0" w:firstLine="567"/>
        <w:outlineLvl w:val="2"/>
        <w:rPr>
          <w:rFonts w:ascii="Times New Roman" w:hAnsi="Times New Roman"/>
          <w:b/>
          <w:sz w:val="28"/>
          <w:szCs w:val="28"/>
        </w:rPr>
      </w:pPr>
      <w:bookmarkStart w:id="64" w:name="_Toc225936090"/>
      <w:r>
        <w:rPr>
          <w:rFonts w:ascii="Times New Roman" w:hAnsi="Times New Roman"/>
          <w:b/>
          <w:sz w:val="28"/>
          <w:szCs w:val="28"/>
        </w:rPr>
        <w:t>Кредитные карты, карты с овердрафтом, электронные средства платежа</w:t>
      </w:r>
      <w:bookmarkEnd w:id="64"/>
      <w:r>
        <w:rPr>
          <w:rFonts w:ascii="Times New Roman" w:hAnsi="Times New Roman"/>
          <w:b/>
          <w:sz w:val="28"/>
          <w:szCs w:val="28"/>
        </w:rPr>
        <w:t xml:space="preserve"> </w:t>
      </w:r>
    </w:p>
    <w:p w14:paraId="1D21D740">
      <w:pPr>
        <w:pStyle w:val="193"/>
        <w:numPr>
          <w:ilvl w:val="0"/>
          <w:numId w:val="1"/>
        </w:numPr>
        <w:ind w:left="0" w:firstLine="567"/>
        <w:rPr>
          <w:rFonts w:ascii="Times New Roman" w:hAnsi="Times New Roman"/>
          <w:sz w:val="28"/>
          <w:szCs w:val="28"/>
        </w:rPr>
      </w:pPr>
      <w:r>
        <w:rPr>
          <w:rFonts w:ascii="Times New Roman" w:hAnsi="Times New Roman"/>
          <w:sz w:val="28"/>
          <w:szCs w:val="28"/>
        </w:rPr>
        <w:t>Банк (иная кредитная организация) выпускает следующие виды карт (таблица № 7):</w:t>
      </w:r>
    </w:p>
    <w:p w14:paraId="35D7392A">
      <w:pPr>
        <w:pStyle w:val="193"/>
        <w:ind w:left="567" w:firstLine="0"/>
        <w:rPr>
          <w:rFonts w:ascii="Times New Roman" w:hAnsi="Times New Roman"/>
          <w:sz w:val="28"/>
          <w:szCs w:val="28"/>
        </w:rPr>
      </w:pPr>
    </w:p>
    <w:tbl>
      <w:tblPr>
        <w:tblStyle w:val="40"/>
        <w:tblW w:w="10093"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27"/>
        <w:gridCol w:w="7966"/>
      </w:tblGrid>
      <w:tr w14:paraId="3E6F1C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27" w:type="dxa"/>
          </w:tcPr>
          <w:p w14:paraId="364B6B0C">
            <w:pPr>
              <w:pStyle w:val="193"/>
              <w:ind w:left="0" w:firstLine="0"/>
              <w:rPr>
                <w:rFonts w:ascii="Times New Roman" w:hAnsi="Times New Roman"/>
                <w:sz w:val="28"/>
                <w:szCs w:val="28"/>
              </w:rPr>
            </w:pPr>
            <w:r>
              <w:rPr>
                <w:rFonts w:ascii="Times New Roman" w:hAnsi="Times New Roman"/>
                <w:sz w:val="28"/>
                <w:szCs w:val="28"/>
              </w:rPr>
              <w:t>Расчетная (дебетовая)</w:t>
            </w:r>
          </w:p>
        </w:tc>
        <w:tc>
          <w:tcPr>
            <w:tcW w:w="7966" w:type="dxa"/>
          </w:tcPr>
          <w:p w14:paraId="06567910">
            <w:pPr>
              <w:pStyle w:val="193"/>
              <w:ind w:left="0" w:firstLine="0"/>
              <w:rPr>
                <w:rFonts w:ascii="Times New Roman" w:hAnsi="Times New Roman"/>
                <w:sz w:val="28"/>
                <w:szCs w:val="28"/>
              </w:rPr>
            </w:pPr>
            <w:r>
              <w:rPr>
                <w:rFonts w:ascii="Times New Roman" w:hAnsi="Times New Roman"/>
                <w:sz w:val="28"/>
                <w:szCs w:val="28"/>
              </w:rPr>
              <w:t>Как электронное средство платежа используется для совершения операций ее держателем в пределах расходного лимита – суммы денежных средств клиента, находящихся на его банковском счете, и (или) кредита, предоставляемого кредитной организацией - эмитентом клиенту при недостаточности или отсутствии на банковском счете денежных средств (овердрафт)</w:t>
            </w:r>
          </w:p>
        </w:tc>
      </w:tr>
      <w:tr w14:paraId="72A648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27" w:type="dxa"/>
          </w:tcPr>
          <w:p w14:paraId="4797C6A1">
            <w:pPr>
              <w:pStyle w:val="193"/>
              <w:ind w:left="0" w:firstLine="0"/>
              <w:rPr>
                <w:rFonts w:ascii="Times New Roman" w:hAnsi="Times New Roman"/>
                <w:sz w:val="28"/>
                <w:szCs w:val="28"/>
              </w:rPr>
            </w:pPr>
            <w:r>
              <w:rPr>
                <w:rFonts w:ascii="Times New Roman" w:hAnsi="Times New Roman"/>
                <w:sz w:val="28"/>
                <w:szCs w:val="28"/>
              </w:rPr>
              <w:t>Кредитная</w:t>
            </w:r>
          </w:p>
        </w:tc>
        <w:tc>
          <w:tcPr>
            <w:tcW w:w="7966" w:type="dxa"/>
          </w:tcPr>
          <w:p w14:paraId="24ABECC0">
            <w:pPr>
              <w:pStyle w:val="193"/>
              <w:ind w:left="0" w:firstLine="0"/>
              <w:rPr>
                <w:rFonts w:ascii="Times New Roman" w:hAnsi="Times New Roman"/>
                <w:sz w:val="28"/>
                <w:szCs w:val="28"/>
              </w:rPr>
            </w:pPr>
            <w:r>
              <w:rPr>
                <w:rFonts w:ascii="Times New Roman" w:hAnsi="Times New Roman"/>
                <w:sz w:val="28"/>
                <w:szCs w:val="28"/>
              </w:rPr>
              <w:t>Как электронное средство платежа используется для совершения ее держателем операций за счет денежных средств, предоставленных кредитной организацией - эмитентом клиенту в пределах расходного лимита в соответствии с условиями кредитного договора.</w:t>
            </w:r>
          </w:p>
        </w:tc>
      </w:tr>
    </w:tbl>
    <w:p w14:paraId="1CB8E02B">
      <w:pPr>
        <w:pStyle w:val="193"/>
        <w:ind w:left="567" w:firstLine="0"/>
        <w:rPr>
          <w:rFonts w:ascii="Times New Roman" w:hAnsi="Times New Roman"/>
          <w:sz w:val="28"/>
          <w:szCs w:val="28"/>
        </w:rPr>
      </w:pPr>
    </w:p>
    <w:p w14:paraId="703A6260">
      <w:pPr>
        <w:pStyle w:val="193"/>
        <w:numPr>
          <w:ilvl w:val="0"/>
          <w:numId w:val="1"/>
        </w:numPr>
        <w:ind w:left="0" w:firstLine="567"/>
        <w:rPr>
          <w:rFonts w:ascii="Times New Roman" w:hAnsi="Times New Roman"/>
          <w:sz w:val="28"/>
          <w:szCs w:val="28"/>
        </w:rPr>
      </w:pPr>
      <w:r>
        <w:rPr>
          <w:rFonts w:ascii="Times New Roman" w:hAnsi="Times New Roman"/>
          <w:sz w:val="28"/>
          <w:szCs w:val="28"/>
        </w:rPr>
        <w:t>Расчетная (дебетовая) и, как правило, кредитные карты предполагают открытие и ведение банком (иной кредитной организацией) счета.</w:t>
      </w:r>
    </w:p>
    <w:p w14:paraId="5EB5763D">
      <w:pPr>
        <w:pStyle w:val="193"/>
        <w:ind w:left="0" w:firstLine="567"/>
        <w:rPr>
          <w:rFonts w:ascii="Times New Roman" w:hAnsi="Times New Roman"/>
          <w:color w:val="000000"/>
          <w:sz w:val="28"/>
          <w:szCs w:val="28"/>
        </w:rPr>
      </w:pPr>
      <w:r>
        <w:rPr>
          <w:rFonts w:ascii="Times New Roman" w:hAnsi="Times New Roman"/>
          <w:sz w:val="28"/>
          <w:szCs w:val="28"/>
        </w:rPr>
        <w:t xml:space="preserve">Кроме того, необходимо обращать внимание, что </w:t>
      </w:r>
      <w:r>
        <w:rPr>
          <w:rFonts w:ascii="Times New Roman" w:hAnsi="Times New Roman"/>
          <w:color w:val="000000"/>
          <w:sz w:val="28"/>
          <w:szCs w:val="28"/>
        </w:rPr>
        <w:t>в настоящее время в рамках маркетинговых продуктов, иных программ повышения лояльности клиентам могут открываться банковские счета, которые могут предусматривать необходимость отражения сведений о них в настоящем разделе справки.</w:t>
      </w:r>
    </w:p>
    <w:p w14:paraId="56B86A1F">
      <w:pPr>
        <w:pStyle w:val="193"/>
        <w:ind w:left="0" w:firstLine="567"/>
        <w:rPr>
          <w:rFonts w:ascii="Times New Roman" w:hAnsi="Times New Roman"/>
          <w:sz w:val="28"/>
          <w:szCs w:val="28"/>
        </w:rPr>
      </w:pPr>
      <w:r>
        <w:rPr>
          <w:rFonts w:ascii="Times New Roman" w:hAnsi="Times New Roman"/>
          <w:color w:val="000000"/>
          <w:sz w:val="28"/>
          <w:szCs w:val="28"/>
        </w:rPr>
        <w:t xml:space="preserve">Информация о наличии банковских счетов, открытых с 1 июля 2014 года, может быть получена в ФНС России. Информацией о ранее открытых счетах в банках (если такие счета не закрывались либо по ним не было изменений) налоговые органы не располагают. Порядок обращения за данными сведениями изложен на официальном сайте ФНС России по ссылке: </w:t>
      </w:r>
      <w:r>
        <w:rPr>
          <w:rStyle w:val="17"/>
          <w:rFonts w:ascii="Times New Roman" w:hAnsi="Times New Roman"/>
          <w:sz w:val="28"/>
          <w:szCs w:val="28"/>
        </w:rPr>
        <w:t>https://www.nalog.gov.ru/rn77/related_activities/accounting/bank_account/</w:t>
      </w:r>
      <w:r>
        <w:rPr>
          <w:rFonts w:ascii="Times New Roman" w:hAnsi="Times New Roman"/>
          <w:sz w:val="28"/>
          <w:szCs w:val="28"/>
        </w:rPr>
        <w:t>.</w:t>
      </w:r>
    </w:p>
    <w:p w14:paraId="7BCC061E">
      <w:pPr>
        <w:pStyle w:val="193"/>
        <w:ind w:left="0" w:firstLine="567"/>
        <w:rPr>
          <w:rFonts w:ascii="Times New Roman" w:hAnsi="Times New Roman"/>
          <w:color w:val="000000"/>
          <w:sz w:val="28"/>
          <w:szCs w:val="28"/>
        </w:rPr>
      </w:pPr>
      <w:r>
        <w:rPr>
          <w:rFonts w:ascii="Times New Roman" w:hAnsi="Times New Roman"/>
          <w:color w:val="000000"/>
          <w:sz w:val="28"/>
          <w:szCs w:val="28"/>
        </w:rPr>
        <w:t>В случае наличия различий в информации о банковских счетах, представленных ФНС России и в соответствии с Указанием Банка России № 5798-У банком (иной кредитной организацией), приоритет рекомендуется отдавать информации, полученной в рамках Указания Банка России № 5798-У.</w:t>
      </w:r>
    </w:p>
    <w:p w14:paraId="5D13AB73">
      <w:pPr>
        <w:pStyle w:val="193"/>
        <w:numPr>
          <w:ilvl w:val="0"/>
          <w:numId w:val="1"/>
        </w:numPr>
        <w:ind w:left="0" w:firstLine="567"/>
        <w:rPr>
          <w:rFonts w:ascii="Times New Roman" w:hAnsi="Times New Roman"/>
          <w:sz w:val="28"/>
          <w:szCs w:val="28"/>
        </w:rPr>
      </w:pPr>
      <w:r>
        <w:rPr>
          <w:rFonts w:ascii="Times New Roman" w:hAnsi="Times New Roman"/>
          <w:sz w:val="28"/>
          <w:szCs w:val="28"/>
        </w:rPr>
        <w:t>В случае, если предоставленный кредит (израсходованный овердрафт) по расчетной (дебетовой) карте равен или превышает 500 000 руб., то возникшее в этой связи обязательство финансового характера необходимо указать в подразделе 6.2 раздела 6 справки.</w:t>
      </w:r>
    </w:p>
    <w:p w14:paraId="56A55309">
      <w:pPr>
        <w:pStyle w:val="193"/>
        <w:numPr>
          <w:ilvl w:val="0"/>
          <w:numId w:val="1"/>
        </w:numPr>
        <w:ind w:left="0" w:firstLine="567"/>
        <w:rPr>
          <w:rFonts w:ascii="Times New Roman" w:hAnsi="Times New Roman"/>
          <w:sz w:val="28"/>
          <w:szCs w:val="28"/>
        </w:rPr>
      </w:pPr>
      <w:r>
        <w:rPr>
          <w:rFonts w:ascii="Times New Roman" w:hAnsi="Times New Roman"/>
          <w:sz w:val="28"/>
          <w:szCs w:val="28"/>
        </w:rPr>
        <w:t>В случае, если расходный лимит кредитной карты равен или превышает 500 000 руб., то возникшее в этой связи обязательство финансового характера, равное или превышающее 500 000 руб., необходимо указать в подразделе 6.2 раздела 6 справки.</w:t>
      </w:r>
    </w:p>
    <w:p w14:paraId="1F6F6E91">
      <w:pPr>
        <w:pStyle w:val="193"/>
        <w:numPr>
          <w:ilvl w:val="0"/>
          <w:numId w:val="1"/>
        </w:numPr>
        <w:ind w:left="0" w:firstLine="567"/>
        <w:rPr>
          <w:rFonts w:ascii="Times New Roman" w:hAnsi="Times New Roman"/>
          <w:sz w:val="28"/>
          <w:szCs w:val="28"/>
        </w:rPr>
      </w:pPr>
      <w:r>
        <w:rPr>
          <w:rFonts w:ascii="Times New Roman" w:hAnsi="Times New Roman"/>
          <w:sz w:val="28"/>
          <w:szCs w:val="28"/>
        </w:rPr>
        <w:t>Информацию об остатке на счете, к которому эмитирована (выпущена) расчетная (дебетовая карта) или кредитная карта, необходимо получать у банка (иной кредитной организации) - эмитента.</w:t>
      </w:r>
    </w:p>
    <w:p w14:paraId="10F1728A">
      <w:pPr>
        <w:pStyle w:val="193"/>
        <w:numPr>
          <w:ilvl w:val="0"/>
          <w:numId w:val="1"/>
        </w:numPr>
        <w:ind w:left="0" w:firstLine="567"/>
        <w:rPr>
          <w:rFonts w:ascii="Times New Roman" w:hAnsi="Times New Roman"/>
          <w:sz w:val="28"/>
          <w:szCs w:val="28"/>
        </w:rPr>
      </w:pPr>
      <w:r>
        <w:rPr>
          <w:rFonts w:ascii="Times New Roman" w:hAnsi="Times New Roman"/>
          <w:sz w:val="28"/>
          <w:szCs w:val="28"/>
        </w:rPr>
        <w:t>При отсутствии на отчетную дату денежных средств на счете, к которому эмитирована (выпущена) расчетная или кредитная карта, и наличия только денежных обязательств владельца счета, относящихся к овердрафту или к расходному лимиту соответственно, указывается остаток на соответствующем счете равный нолю ("0").</w:t>
      </w:r>
    </w:p>
    <w:p w14:paraId="19C3E503">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Следует обращать внимание, что основанием закрытия счета является прекращение договора счета в установленном порядке или соглашение сторон. </w:t>
      </w:r>
    </w:p>
    <w:p w14:paraId="2DD423DD">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данном разделе </w:t>
      </w:r>
      <w:r>
        <w:rPr>
          <w:rFonts w:ascii="Times New Roman" w:hAnsi="Times New Roman"/>
          <w:b/>
          <w:sz w:val="28"/>
          <w:szCs w:val="28"/>
        </w:rPr>
        <w:t>не указываются</w:t>
      </w:r>
      <w:r>
        <w:rPr>
          <w:rFonts w:ascii="Times New Roman" w:hAnsi="Times New Roman"/>
          <w:sz w:val="28"/>
          <w:szCs w:val="28"/>
        </w:rPr>
        <w:t>:</w:t>
      </w:r>
    </w:p>
    <w:p w14:paraId="6983EC77">
      <w:pPr>
        <w:pStyle w:val="193"/>
        <w:numPr>
          <w:ilvl w:val="1"/>
          <w:numId w:val="1"/>
        </w:numPr>
        <w:ind w:left="0" w:firstLine="567"/>
        <w:rPr>
          <w:rFonts w:ascii="Times New Roman" w:hAnsi="Times New Roman"/>
          <w:sz w:val="28"/>
          <w:szCs w:val="28"/>
        </w:rPr>
      </w:pPr>
      <w:r>
        <w:rPr>
          <w:rFonts w:ascii="Times New Roman" w:hAnsi="Times New Roman"/>
          <w:sz w:val="28"/>
        </w:rPr>
        <w:t>счета</w:t>
      </w:r>
      <w:r>
        <w:rPr>
          <w:rFonts w:ascii="Times New Roman" w:hAnsi="Times New Roman"/>
          <w:sz w:val="28"/>
          <w:szCs w:val="28"/>
        </w:rPr>
        <w:t xml:space="preserve">, связанные с учетом задолженности и платежей за услуги мобильной связи, жилищно-коммунальные услуги посредством использования технологий дистанционного банковского обслуживания, </w:t>
      </w:r>
    </w:p>
    <w:p w14:paraId="2C30931B">
      <w:pPr>
        <w:pStyle w:val="193"/>
        <w:numPr>
          <w:ilvl w:val="1"/>
          <w:numId w:val="1"/>
        </w:numPr>
        <w:ind w:left="0" w:firstLine="567"/>
        <w:rPr>
          <w:rFonts w:ascii="Times New Roman" w:hAnsi="Times New Roman"/>
          <w:sz w:val="28"/>
          <w:szCs w:val="28"/>
        </w:rPr>
      </w:pPr>
      <w:r>
        <w:rPr>
          <w:rFonts w:ascii="Times New Roman" w:hAnsi="Times New Roman"/>
          <w:sz w:val="28"/>
          <w:szCs w:val="28"/>
        </w:rPr>
        <w:t xml:space="preserve">сведения об участии в программе государственного софинансирования пенсии, действующей в соответствии с Федеральным законом от 30 апреля 2008 г. № 56-ФЗ "О дополнительных страховых взносах на накопительную часть трудовой пенсии и государственной поддержке формирования пенсионных накоплений", </w:t>
      </w:r>
    </w:p>
    <w:p w14:paraId="03C8336F">
      <w:pPr>
        <w:pStyle w:val="193"/>
        <w:numPr>
          <w:ilvl w:val="1"/>
          <w:numId w:val="1"/>
        </w:numPr>
        <w:ind w:left="0" w:firstLine="709"/>
        <w:rPr>
          <w:rFonts w:ascii="Times New Roman" w:hAnsi="Times New Roman"/>
          <w:sz w:val="28"/>
          <w:szCs w:val="28"/>
        </w:rPr>
      </w:pPr>
      <w:r>
        <w:rPr>
          <w:rFonts w:ascii="Times New Roman" w:hAnsi="Times New Roman"/>
          <w:sz w:val="28"/>
          <w:szCs w:val="28"/>
        </w:rPr>
        <w:t>сведения о заключении договора долгосрочных сбережений в соответствии с Федеральным законом от 7 мая 1998 г. № 75-ФЗ "О негосударственных пенсионных фондах";</w:t>
      </w:r>
    </w:p>
    <w:p w14:paraId="0B356581">
      <w:pPr>
        <w:pStyle w:val="193"/>
        <w:numPr>
          <w:ilvl w:val="1"/>
          <w:numId w:val="1"/>
        </w:numPr>
        <w:ind w:left="0" w:firstLine="567"/>
        <w:rPr>
          <w:rFonts w:ascii="Times New Roman" w:hAnsi="Times New Roman"/>
          <w:sz w:val="28"/>
          <w:szCs w:val="28"/>
        </w:rPr>
      </w:pPr>
      <w:r>
        <w:rPr>
          <w:rFonts w:ascii="Times New Roman" w:hAnsi="Times New Roman"/>
          <w:sz w:val="28"/>
          <w:szCs w:val="28"/>
        </w:rPr>
        <w:t>электронные средства платежа, в том числе "электронные кошельки" (например, "ЮMoney", карта O</w:t>
      </w:r>
      <w:r>
        <w:rPr>
          <w:rFonts w:ascii="Times New Roman" w:hAnsi="Times New Roman"/>
          <w:sz w:val="28"/>
          <w:szCs w:val="28"/>
          <w:lang w:val="en-US"/>
        </w:rPr>
        <w:t>ZON</w:t>
      </w:r>
      <w:r>
        <w:rPr>
          <w:rFonts w:ascii="Times New Roman" w:hAnsi="Times New Roman"/>
          <w:sz w:val="28"/>
          <w:szCs w:val="28"/>
        </w:rPr>
        <w:t xml:space="preserve"> и др.), клиентские карты для совершения покупок в информационно-телекоммуникационной сети "Интернет" (при этом рекомендуется удостовериться, что счет в банке (иной кредитной организации) не открывался).</w:t>
      </w:r>
    </w:p>
    <w:p w14:paraId="679DD2F8">
      <w:pPr>
        <w:ind w:firstLine="567"/>
        <w:rPr>
          <w:rFonts w:ascii="Times New Roman" w:hAnsi="Times New Roman"/>
          <w:sz w:val="28"/>
          <w:szCs w:val="28"/>
        </w:rPr>
      </w:pPr>
      <w:r>
        <w:rPr>
          <w:rFonts w:ascii="Times New Roman" w:hAnsi="Times New Roman"/>
          <w:sz w:val="28"/>
          <w:szCs w:val="28"/>
        </w:rPr>
        <w:t>Под электронным средством платежа в соответствии с пунктом 19 статьи 3 Федерального закона от 27 июня 2011 г. № 161-ФЗ "О национальной платежной системе" понимается средство и (или) способ, позволяющие клиенту оператора по переводу денежных средств составлять, удостоверять и передавать распоряжения в целях осуществления перевода денежных средств в рамках применяемых форм безналичных расчетов с использованием информационно-коммуникационных технологий, электронных носителей информации, в том числе платежных карт и их преобразованных данных (токенизированных (цифровых) платежных карт), а также иных технических устройств.</w:t>
      </w:r>
    </w:p>
    <w:p w14:paraId="01A26E27">
      <w:pPr>
        <w:ind w:firstLine="567"/>
        <w:rPr>
          <w:rFonts w:ascii="Times New Roman" w:hAnsi="Times New Roman"/>
          <w:sz w:val="28"/>
          <w:szCs w:val="28"/>
        </w:rPr>
      </w:pPr>
      <w:r>
        <w:rPr>
          <w:rFonts w:ascii="Times New Roman" w:hAnsi="Times New Roman"/>
          <w:sz w:val="28"/>
          <w:szCs w:val="28"/>
        </w:rPr>
        <w:t>В применимой информации, представляемой ФНС России, могут указываться электронные средства платежа (ЭСП), но это не требует их отражения в разделе 4 справки.</w:t>
      </w:r>
    </w:p>
    <w:p w14:paraId="1A83CF4C">
      <w:pPr>
        <w:pStyle w:val="193"/>
        <w:ind w:left="0" w:firstLine="567"/>
        <w:outlineLvl w:val="2"/>
        <w:rPr>
          <w:rFonts w:ascii="Times New Roman" w:hAnsi="Times New Roman"/>
          <w:sz w:val="28"/>
          <w:szCs w:val="28"/>
        </w:rPr>
      </w:pPr>
      <w:bookmarkStart w:id="65" w:name="_Toc225936091"/>
      <w:r>
        <w:rPr>
          <w:rFonts w:ascii="Times New Roman" w:hAnsi="Times New Roman"/>
          <w:b/>
          <w:sz w:val="28"/>
          <w:szCs w:val="28"/>
        </w:rPr>
        <w:t>Отзыв лицензии у кредитной организации</w:t>
      </w:r>
      <w:bookmarkEnd w:id="65"/>
      <w:r>
        <w:rPr>
          <w:rFonts w:ascii="Times New Roman" w:hAnsi="Times New Roman"/>
          <w:b/>
          <w:sz w:val="28"/>
          <w:szCs w:val="28"/>
        </w:rPr>
        <w:t xml:space="preserve"> </w:t>
      </w:r>
    </w:p>
    <w:p w14:paraId="5DD873F9">
      <w:pPr>
        <w:pStyle w:val="193"/>
        <w:numPr>
          <w:ilvl w:val="0"/>
          <w:numId w:val="1"/>
        </w:numPr>
        <w:ind w:left="0" w:firstLine="567"/>
        <w:rPr>
          <w:rFonts w:ascii="Times New Roman" w:hAnsi="Times New Roman"/>
          <w:sz w:val="28"/>
          <w:szCs w:val="28"/>
        </w:rPr>
      </w:pPr>
      <w:r>
        <w:rPr>
          <w:rFonts w:ascii="Times New Roman" w:hAnsi="Times New Roman"/>
          <w:sz w:val="28"/>
          <w:szCs w:val="28"/>
        </w:rPr>
        <w:t>Отзыв лицензии у кредитной организации не предполагает закрытие счета. В указанных обстоятельствах для получения информации о состоянии счета следует обращаться в кредитную организацию в рамках Указания Банка России № 5798-У.</w:t>
      </w:r>
    </w:p>
    <w:p w14:paraId="59E71ED7">
      <w:pPr>
        <w:pStyle w:val="193"/>
        <w:ind w:left="0" w:firstLine="567"/>
        <w:outlineLvl w:val="2"/>
        <w:rPr>
          <w:rFonts w:ascii="Times New Roman" w:hAnsi="Times New Roman"/>
          <w:b/>
          <w:sz w:val="28"/>
          <w:szCs w:val="28"/>
        </w:rPr>
      </w:pPr>
      <w:bookmarkStart w:id="66" w:name="_Toc225936092"/>
      <w:r>
        <w:rPr>
          <w:rFonts w:ascii="Times New Roman" w:hAnsi="Times New Roman"/>
          <w:b/>
          <w:sz w:val="28"/>
          <w:szCs w:val="28"/>
        </w:rPr>
        <w:t>Ликвидация кредитной организации</w:t>
      </w:r>
      <w:bookmarkEnd w:id="66"/>
    </w:p>
    <w:p w14:paraId="684A9B02">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Ликвидация кредитной организации свидетельствует о закрытии счета в данной кредитной организации. </w:t>
      </w:r>
    </w:p>
    <w:p w14:paraId="30612503">
      <w:pPr>
        <w:pStyle w:val="193"/>
        <w:widowControl w:val="0"/>
        <w:ind w:left="0" w:firstLine="567"/>
        <w:rPr>
          <w:rFonts w:ascii="Times New Roman" w:hAnsi="Times New Roman"/>
          <w:sz w:val="28"/>
          <w:szCs w:val="28"/>
        </w:rPr>
      </w:pPr>
      <w:r>
        <w:rPr>
          <w:rFonts w:ascii="Times New Roman" w:hAnsi="Times New Roman"/>
          <w:sz w:val="28"/>
          <w:szCs w:val="28"/>
        </w:rPr>
        <w:t>В случае реорганизации кредитной организации в форме слияния, присоединения или преобразования следует обращаться в банк или кредитную организацию, созданную по результатам реорганизации, в рамках Указания Банка России № 5798-У.</w:t>
      </w:r>
    </w:p>
    <w:p w14:paraId="4AF68D1F">
      <w:pPr>
        <w:pStyle w:val="193"/>
        <w:widowControl w:val="0"/>
        <w:ind w:left="0" w:firstLine="567"/>
        <w:rPr>
          <w:rFonts w:ascii="Times New Roman" w:hAnsi="Times New Roman"/>
          <w:sz w:val="28"/>
          <w:szCs w:val="28"/>
        </w:rPr>
      </w:pPr>
    </w:p>
    <w:p w14:paraId="38098374">
      <w:pPr>
        <w:pStyle w:val="3"/>
        <w:ind w:firstLine="0"/>
        <w:jc w:val="center"/>
        <w:rPr>
          <w:b w:val="0"/>
        </w:rPr>
      </w:pPr>
      <w:bookmarkStart w:id="67" w:name="_Toc225936093"/>
      <w:r>
        <w:t>РАЗДЕЛ 5. СВЕДЕНИЯ О ЦЕННЫХ БУМАГАХ</w:t>
      </w:r>
      <w:bookmarkEnd w:id="67"/>
    </w:p>
    <w:p w14:paraId="6004C351">
      <w:pPr>
        <w:ind w:firstLine="851"/>
        <w:jc w:val="center"/>
        <w:rPr>
          <w:rFonts w:ascii="Times New Roman" w:hAnsi="Times New Roman"/>
          <w:sz w:val="28"/>
          <w:szCs w:val="28"/>
        </w:rPr>
      </w:pPr>
    </w:p>
    <w:p w14:paraId="31C5F3E3">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данном разделе указываются сведения об имеющихся ценных бумагах, долях участия в уставных капиталах коммерческих организаций и фондах. Доход от имеющихся ценных бумаг указывается в разделе 1 справки (строка </w:t>
      </w:r>
      <w:r>
        <w:rPr>
          <w:rFonts w:ascii="Times New Roman" w:hAnsi="Times New Roman"/>
          <w:b/>
          <w:sz w:val="28"/>
        </w:rPr>
        <w:t>"Доход от ценных бумаг и долей участия в коммерческих организациях"</w:t>
      </w:r>
      <w:r>
        <w:rPr>
          <w:rFonts w:ascii="Times New Roman" w:hAnsi="Times New Roman"/>
          <w:sz w:val="28"/>
          <w:szCs w:val="28"/>
        </w:rPr>
        <w:t>).</w:t>
      </w:r>
    </w:p>
    <w:p w14:paraId="122A0FCD">
      <w:pPr>
        <w:pStyle w:val="193"/>
        <w:ind w:left="0" w:firstLine="567"/>
        <w:rPr>
          <w:rFonts w:ascii="Times New Roman" w:hAnsi="Times New Roman"/>
          <w:sz w:val="28"/>
          <w:szCs w:val="28"/>
        </w:rPr>
      </w:pPr>
      <w:r>
        <w:rPr>
          <w:rFonts w:ascii="Times New Roman" w:hAnsi="Times New Roman"/>
          <w:sz w:val="28"/>
          <w:szCs w:val="28"/>
        </w:rPr>
        <w:t xml:space="preserve">К ценным бумагам относятся акция, вексель, закладная, инвестиционный пай паевого инвестиционного фонда, коносамент, облигация, чек, сберегательный сертификат, цифровое свидетельство и иные ценные бумаги, названные в таком качестве в законе или признанные таковыми в установленном законом порядке, а также ценные бумаги иностранных эмитентов. </w:t>
      </w:r>
    </w:p>
    <w:p w14:paraId="72ACF81F">
      <w:pPr>
        <w:pStyle w:val="193"/>
        <w:ind w:left="0" w:firstLine="567"/>
        <w:rPr>
          <w:rFonts w:ascii="Times New Roman" w:hAnsi="Times New Roman"/>
          <w:sz w:val="28"/>
          <w:szCs w:val="28"/>
        </w:rPr>
      </w:pPr>
      <w:r>
        <w:rPr>
          <w:rFonts w:ascii="Times New Roman" w:hAnsi="Times New Roman"/>
          <w:sz w:val="28"/>
          <w:szCs w:val="28"/>
        </w:rPr>
        <w:t>Государственный сертификат на материнский (семейный) капитал не является ценной бумагой и не подлежит указанию в разделе 5 справки.</w:t>
      </w:r>
    </w:p>
    <w:p w14:paraId="70B7B67E">
      <w:pPr>
        <w:pStyle w:val="193"/>
        <w:ind w:left="0" w:firstLine="567"/>
        <w:rPr>
          <w:rFonts w:ascii="Times New Roman" w:hAnsi="Times New Roman"/>
          <w:sz w:val="28"/>
          <w:szCs w:val="28"/>
        </w:rPr>
      </w:pPr>
      <w:r>
        <w:rPr>
          <w:rFonts w:ascii="Times New Roman" w:hAnsi="Times New Roman"/>
          <w:sz w:val="28"/>
          <w:szCs w:val="28"/>
        </w:rPr>
        <w:t>Ценные бумаги, приобретенные в рамках договора на брокерское обслуживание и (или) договора доверительного управления ценными бумагами (включая договор на ведение индивидуального инвестиционного счета) и собственником которых является служащий (работник), его супруга (супруг) или несовершеннолетние дети, также подлежат отражению в подразделе 5.1 или 5.2 раздела 5 справки соответственно. Аналогично в отношении инвестиционных паев открытых паевых инвестиционных фондов или инвестиционных паев закрытых паевых инвестиционных фондов, предназначенных для квалифицированных инвесторов, которые приобретаются в рамках договора долевого страхования жизни (в соответствии с пунктом 2 статьи 11.1 Закона Российской Федерации от 27 ноября 1992 г. № 4015-1 "Об организации страхового дела в Российской Федерации").</w:t>
      </w:r>
    </w:p>
    <w:p w14:paraId="2C375998">
      <w:pPr>
        <w:pStyle w:val="193"/>
        <w:ind w:left="0" w:firstLine="567"/>
        <w:rPr>
          <w:rFonts w:ascii="Times New Roman" w:hAnsi="Times New Roman"/>
          <w:sz w:val="28"/>
          <w:szCs w:val="28"/>
        </w:rPr>
      </w:pPr>
      <w:r>
        <w:rPr>
          <w:rFonts w:ascii="Times New Roman" w:hAnsi="Times New Roman"/>
          <w:sz w:val="28"/>
          <w:szCs w:val="28"/>
        </w:rPr>
        <w:t>В соответствии с пунктом 1 статьи 1012 Гражданского кодекса Российской Федерации передача ценных бумаг в доверительное управление не влечет перехода права собственности на него к доверительному управляющему. В этой связи переданные в доверительное управление ценные бумаги подлежат отражению в разделе 5 справки. Кроме того, в силу статьи 926.1, пункта 1 статьи 926.5, статьи 926.6 Гражданского кодекса Российской Федерации передача ценных бумаг на депонирование эскроу-агенту по общему правилу не влечет перехода права собственности на них к эскроу-агенту. В этой связи такие ценные бумаги также отражаются в разделе 5 справки.</w:t>
      </w:r>
    </w:p>
    <w:p w14:paraId="1C33724B">
      <w:pPr>
        <w:pStyle w:val="193"/>
        <w:ind w:left="0" w:firstLine="567"/>
        <w:rPr>
          <w:rFonts w:ascii="Times New Roman" w:hAnsi="Times New Roman"/>
          <w:sz w:val="28"/>
          <w:szCs w:val="28"/>
        </w:rPr>
      </w:pPr>
      <w:r>
        <w:rPr>
          <w:rFonts w:ascii="Times New Roman" w:hAnsi="Times New Roman"/>
          <w:sz w:val="28"/>
          <w:szCs w:val="28"/>
        </w:rPr>
        <w:t>Ценные бумаги с неоднородными признаками (например, разные номинальные стоимости ценных бумаг, обыкновенные и привилегированные акции одного эмитента, разная стоимость приобретения (возмездная, безвозмездная) и т.д.) следует отражать в разных строках.</w:t>
      </w:r>
    </w:p>
    <w:p w14:paraId="7CB477B7">
      <w:pPr>
        <w:pStyle w:val="193"/>
        <w:ind w:left="0" w:firstLine="567"/>
        <w:rPr>
          <w:rFonts w:ascii="Times New Roman" w:hAnsi="Times New Roman"/>
          <w:sz w:val="28"/>
          <w:szCs w:val="28"/>
        </w:rPr>
      </w:pPr>
      <w:r>
        <w:rPr>
          <w:rFonts w:ascii="Times New Roman" w:hAnsi="Times New Roman"/>
          <w:sz w:val="28"/>
          <w:szCs w:val="28"/>
        </w:rPr>
        <w:t>Отдельная информация, необходимая для заполнения раздела 5 справки, может быть получена в рамках Указания Банка России № 5798-У. При этом необходимо учитывать, что самостоятельные юридические лица, входящие в т.н. "группу компаний", могут не обладать единой базой данных и в этой связи потребуется обращаться в несколько применимых юридических лиц.</w:t>
      </w:r>
    </w:p>
    <w:p w14:paraId="3261AAD5">
      <w:pPr>
        <w:pStyle w:val="193"/>
        <w:ind w:left="0" w:firstLine="567"/>
        <w:rPr>
          <w:rFonts w:ascii="Times New Roman" w:hAnsi="Times New Roman"/>
          <w:sz w:val="28"/>
          <w:szCs w:val="28"/>
        </w:rPr>
      </w:pPr>
      <w:r>
        <w:rPr>
          <w:rFonts w:ascii="Times New Roman" w:hAnsi="Times New Roman"/>
          <w:sz w:val="28"/>
          <w:szCs w:val="28"/>
        </w:rPr>
        <w:t xml:space="preserve">Также при отсутствии информации в отношении отдельных граф организация в соответствии с Указанием Банка России № 5798-У проставляет прочерк. При этом данное обстоятельство не свидетельствует об отсутствии указанной информации в целом, а исключительно характеризует тот факт, что организация, в которую обратились, данной информацией не располагает и в этой связи необходимо обратиться в другую организацию. </w:t>
      </w:r>
    </w:p>
    <w:p w14:paraId="67E370E3">
      <w:pPr>
        <w:pStyle w:val="4"/>
        <w:rPr>
          <w:b w:val="0"/>
        </w:rPr>
      </w:pPr>
      <w:bookmarkStart w:id="68" w:name="_Toc225936094"/>
      <w:r>
        <w:t>Подраздел 5.1. Акции и иное участие в коммерческих организациях и фондах</w:t>
      </w:r>
      <w:bookmarkEnd w:id="68"/>
      <w:r>
        <w:t xml:space="preserve"> </w:t>
      </w:r>
    </w:p>
    <w:p w14:paraId="1B6EA78F">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соответствии с Федеральным законом от 22 апреля 1996 г. № 39-ФЗ "О рынке ценных бумаг" акция – это эмиссионная ценная бумага, закрепляющая права ее владельца (акционера) на получение части прибыли акционерного общества в виде дивидендов, на участие в управлении акционерным обществом и на часть имущества, остающегося после его ликвидации. Акция является именной ценной бумагой. </w:t>
      </w:r>
    </w:p>
    <w:p w14:paraId="7F1ECC6C">
      <w:pPr>
        <w:pStyle w:val="193"/>
        <w:numPr>
          <w:ilvl w:val="0"/>
          <w:numId w:val="1"/>
        </w:numPr>
        <w:ind w:left="0" w:firstLine="567"/>
        <w:rPr>
          <w:rFonts w:ascii="Times New Roman" w:hAnsi="Times New Roman"/>
          <w:sz w:val="28"/>
          <w:szCs w:val="28"/>
        </w:rPr>
      </w:pPr>
      <w:bookmarkStart w:id="69" w:name="Наименование"/>
      <w:r>
        <w:rPr>
          <w:rFonts w:ascii="Times New Roman" w:hAnsi="Times New Roman"/>
          <w:sz w:val="28"/>
          <w:szCs w:val="28"/>
        </w:rPr>
        <w:t xml:space="preserve">В графе </w:t>
      </w:r>
      <w:r>
        <w:rPr>
          <w:rFonts w:ascii="Times New Roman" w:hAnsi="Times New Roman"/>
          <w:b/>
          <w:sz w:val="28"/>
          <w:szCs w:val="28"/>
        </w:rPr>
        <w:t>"Наименование и организационно-правовая форма организации</w:t>
      </w:r>
      <w:r>
        <w:rPr>
          <w:rFonts w:ascii="Times New Roman" w:hAnsi="Times New Roman"/>
          <w:b/>
          <w:sz w:val="28"/>
        </w:rPr>
        <w:t>"</w:t>
      </w:r>
      <w:r>
        <w:rPr>
          <w:rFonts w:ascii="Times New Roman" w:hAnsi="Times New Roman"/>
          <w:sz w:val="28"/>
          <w:szCs w:val="28"/>
        </w:rPr>
        <w:t xml:space="preserve">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фонд, крестьянско-фермерское хозяйство и др.).</w:t>
      </w:r>
    </w:p>
    <w:p w14:paraId="5B954345">
      <w:pPr>
        <w:tabs>
          <w:tab w:val="left" w:pos="426"/>
        </w:tabs>
        <w:ind w:firstLine="567"/>
        <w:rPr>
          <w:rFonts w:ascii="Times New Roman" w:hAnsi="Times New Roman"/>
          <w:sz w:val="28"/>
          <w:szCs w:val="28"/>
        </w:rPr>
      </w:pPr>
      <w:r>
        <w:rPr>
          <w:rFonts w:ascii="Times New Roman" w:hAnsi="Times New Roman"/>
          <w:sz w:val="28"/>
          <w:szCs w:val="28"/>
        </w:rPr>
        <w:t>В случае если служащий (работник), его супруга (супруг) и (или) несовершеннолетние дети являются учредителем коммерческой организации, то данную информацию также необходимо отразить.</w:t>
      </w:r>
      <w:bookmarkStart w:id="70" w:name="Par619"/>
      <w:bookmarkEnd w:id="70"/>
      <w:r>
        <w:rPr>
          <w:rFonts w:ascii="Times New Roman" w:hAnsi="Times New Roman"/>
          <w:sz w:val="28"/>
          <w:szCs w:val="28"/>
        </w:rPr>
        <w:t xml:space="preserve"> Информация об учреждении некоммерческих организаций не отражается, за исключением информации об учреждении некоммерческой организации в организационно-правовой форме фонда, которая подлежит отражению. </w:t>
      </w:r>
    </w:p>
    <w:bookmarkEnd w:id="69"/>
    <w:p w14:paraId="0842879C">
      <w:pPr>
        <w:pStyle w:val="193"/>
        <w:numPr>
          <w:ilvl w:val="0"/>
          <w:numId w:val="1"/>
        </w:numPr>
        <w:ind w:left="0" w:firstLine="567"/>
        <w:rPr>
          <w:rFonts w:ascii="Times New Roman" w:hAnsi="Times New Roman"/>
          <w:sz w:val="28"/>
          <w:szCs w:val="28"/>
        </w:rPr>
      </w:pPr>
      <w:bookmarkStart w:id="71" w:name="Местонахождение"/>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Местонахождение организации (адрес)</w:t>
      </w:r>
      <w:r>
        <w:rPr>
          <w:rFonts w:ascii="Times New Roman" w:hAnsi="Times New Roman"/>
          <w:b/>
          <w:sz w:val="28"/>
        </w:rPr>
        <w:t>"</w:t>
      </w:r>
      <w:r>
        <w:rPr>
          <w:rFonts w:ascii="Times New Roman" w:hAnsi="Times New Roman"/>
          <w:sz w:val="28"/>
          <w:szCs w:val="28"/>
        </w:rPr>
        <w:t xml:space="preserve"> указывается место нахождения эмитента акций (иностранных акций). В отношении юридического лица, созданного в соответствии с законодательством Российской Федерации, место нахождения указывается в соответствии с Единым государственным реестром юридических лиц, а в отношении юридического лица, созданного в соответствии с законодательством иностранного государства, - место нахождения, определяемое в соответствии с законодательством страны, где указанное юридическое лицо создано, в соответствии с применимыми документами (без произвольной транслитерации).</w:t>
      </w:r>
    </w:p>
    <w:bookmarkEnd w:id="71"/>
    <w:p w14:paraId="7B592178">
      <w:pPr>
        <w:pStyle w:val="193"/>
        <w:numPr>
          <w:ilvl w:val="0"/>
          <w:numId w:val="1"/>
        </w:numPr>
        <w:ind w:left="0" w:firstLine="567"/>
        <w:rPr>
          <w:rFonts w:ascii="Times New Roman" w:hAnsi="Times New Roman"/>
          <w:sz w:val="28"/>
          <w:szCs w:val="28"/>
        </w:rPr>
      </w:pPr>
      <w:bookmarkStart w:id="72" w:name="Капитал"/>
      <w:r>
        <w:rPr>
          <w:rFonts w:ascii="Times New Roman" w:hAnsi="Times New Roman"/>
          <w:b/>
          <w:sz w:val="28"/>
          <w:szCs w:val="28"/>
        </w:rPr>
        <w:t>Уставный капитал</w:t>
      </w:r>
      <w:r>
        <w:rPr>
          <w:rFonts w:ascii="Times New Roman" w:hAnsi="Times New Roman"/>
          <w:sz w:val="28"/>
          <w:szCs w:val="28"/>
        </w:rPr>
        <w:t xml:space="preserve">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указывается в рублях по курсу Банка России на отчетную дату </w:t>
      </w:r>
      <w:r>
        <w:rPr>
          <w:rFonts w:ascii="Times New Roman" w:hAnsi="Times New Roman" w:eastAsia="Times New Roman"/>
          <w:sz w:val="28"/>
          <w:szCs w:val="28"/>
          <w:lang w:eastAsia="ru-RU"/>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eastAsia="Times New Roman"/>
          <w:sz w:val="28"/>
          <w:szCs w:val="28"/>
          <w:lang w:eastAsia="ru-RU"/>
        </w:rPr>
        <w:t>)</w:t>
      </w:r>
      <w:r>
        <w:rPr>
          <w:rFonts w:ascii="Times New Roman" w:hAnsi="Times New Roman"/>
          <w:sz w:val="28"/>
          <w:szCs w:val="28"/>
        </w:rPr>
        <w:t xml:space="preserve">. </w:t>
      </w:r>
    </w:p>
    <w:p w14:paraId="2565E278">
      <w:pPr>
        <w:pStyle w:val="193"/>
        <w:ind w:left="0" w:firstLine="567"/>
        <w:rPr>
          <w:rFonts w:ascii="Times New Roman" w:hAnsi="Times New Roman"/>
          <w:sz w:val="28"/>
          <w:szCs w:val="28"/>
        </w:rPr>
      </w:pPr>
      <w:r>
        <w:rPr>
          <w:rFonts w:ascii="Times New Roman" w:hAnsi="Times New Roman"/>
          <w:sz w:val="28"/>
          <w:szCs w:val="28"/>
        </w:rPr>
        <w:t>Если законодательством не предусмотрено формирование уставного капитала, то указывается "0 руб.".</w:t>
      </w:r>
    </w:p>
    <w:p w14:paraId="50ADE265">
      <w:pPr>
        <w:pStyle w:val="193"/>
        <w:ind w:left="0" w:firstLine="567"/>
        <w:rPr>
          <w:rFonts w:ascii="Times New Roman" w:hAnsi="Times New Roman"/>
          <w:sz w:val="28"/>
          <w:szCs w:val="28"/>
        </w:rPr>
      </w:pPr>
      <w:r>
        <w:rPr>
          <w:rFonts w:ascii="Times New Roman" w:hAnsi="Times New Roman"/>
          <w:sz w:val="28"/>
          <w:szCs w:val="28"/>
        </w:rPr>
        <w:t>Уставный капитал зарубежных организаций необходимо устанавливать в соответствии с применимым правом (допускается использование данных из официальных источников в информационно-телекоммуникационной сети "Интернет").</w:t>
      </w:r>
    </w:p>
    <w:bookmarkEnd w:id="72"/>
    <w:p w14:paraId="39D31D80">
      <w:pPr>
        <w:pStyle w:val="193"/>
        <w:numPr>
          <w:ilvl w:val="0"/>
          <w:numId w:val="1"/>
        </w:numPr>
        <w:ind w:left="0" w:firstLine="567"/>
        <w:rPr>
          <w:rFonts w:ascii="Times New Roman" w:hAnsi="Times New Roman"/>
          <w:sz w:val="28"/>
          <w:szCs w:val="28"/>
        </w:rPr>
      </w:pPr>
      <w:bookmarkStart w:id="73" w:name="Par620"/>
      <w:bookmarkEnd w:id="73"/>
      <w:bookmarkStart w:id="74" w:name="Долиучастия"/>
      <w:bookmarkEnd w:id="74"/>
      <w:bookmarkStart w:id="75" w:name="Участие"/>
      <w:r>
        <w:rPr>
          <w:rFonts w:ascii="Times New Roman" w:hAnsi="Times New Roman"/>
          <w:b/>
          <w:sz w:val="28"/>
          <w:szCs w:val="28"/>
        </w:rPr>
        <w:t xml:space="preserve">Доля участия </w:t>
      </w:r>
      <w:r>
        <w:rPr>
          <w:rFonts w:ascii="Times New Roman" w:hAnsi="Times New Roman"/>
          <w:sz w:val="28"/>
          <w:szCs w:val="28"/>
        </w:rPr>
        <w:t>выражается в процентах от уставного капитала. Для акционерных обществ указываются также номинальная стоимость и количество акций.</w:t>
      </w:r>
    </w:p>
    <w:bookmarkEnd w:id="75"/>
    <w:p w14:paraId="731F850C">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СПО "Справки БК" предусмотрена графа </w:t>
      </w:r>
      <w:r>
        <w:rPr>
          <w:rFonts w:ascii="Times New Roman" w:hAnsi="Times New Roman"/>
          <w:b/>
          <w:sz w:val="28"/>
        </w:rPr>
        <w:t>"Общая стоимость</w:t>
      </w:r>
      <w:r>
        <w:rPr>
          <w:rFonts w:ascii="Times New Roman" w:hAnsi="Times New Roman"/>
          <w:b/>
          <w:sz w:val="28"/>
          <w:szCs w:val="28"/>
        </w:rPr>
        <w:t xml:space="preserve"> (руб.)"</w:t>
      </w:r>
      <w:r>
        <w:rPr>
          <w:rFonts w:ascii="Times New Roman" w:hAnsi="Times New Roman"/>
          <w:sz w:val="28"/>
          <w:szCs w:val="28"/>
        </w:rPr>
        <w:t xml:space="preserve">, в которой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w:t>
      </w:r>
    </w:p>
    <w:p w14:paraId="1B401D7D">
      <w:pPr>
        <w:pStyle w:val="193"/>
        <w:ind w:left="0" w:firstLine="567"/>
        <w:rPr>
          <w:rFonts w:ascii="Times New Roman" w:hAnsi="Times New Roman"/>
          <w:sz w:val="28"/>
          <w:szCs w:val="28"/>
        </w:rPr>
      </w:pPr>
      <w:r>
        <w:rPr>
          <w:rFonts w:ascii="Times New Roman" w:hAnsi="Times New Roman"/>
          <w:sz w:val="28"/>
          <w:szCs w:val="28"/>
        </w:rPr>
        <w:t xml:space="preserve">Для значений, выраженных в иностранной валюте, стоимость указывается в рублях по курсу Банка России на отчетную дату </w:t>
      </w:r>
      <w:r>
        <w:rPr>
          <w:rFonts w:ascii="Times New Roman" w:hAnsi="Times New Roman" w:eastAsia="Times New Roman"/>
          <w:sz w:val="28"/>
          <w:szCs w:val="28"/>
          <w:lang w:eastAsia="ru-RU"/>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eastAsia="Times New Roman"/>
          <w:sz w:val="28"/>
          <w:szCs w:val="28"/>
          <w:lang w:eastAsia="ru-RU"/>
        </w:rPr>
        <w:t>)</w:t>
      </w:r>
      <w:r>
        <w:rPr>
          <w:rFonts w:ascii="Times New Roman" w:hAnsi="Times New Roman"/>
          <w:sz w:val="28"/>
          <w:szCs w:val="28"/>
        </w:rPr>
        <w:t xml:space="preserve">. </w:t>
      </w:r>
    </w:p>
    <w:p w14:paraId="05B80F44">
      <w:pPr>
        <w:pStyle w:val="193"/>
        <w:ind w:left="0" w:firstLine="567"/>
        <w:rPr>
          <w:rFonts w:ascii="Times New Roman" w:hAnsi="Times New Roman"/>
          <w:sz w:val="28"/>
          <w:szCs w:val="28"/>
        </w:rPr>
      </w:pPr>
      <w:r>
        <w:rPr>
          <w:rFonts w:ascii="Times New Roman" w:hAnsi="Times New Roman"/>
          <w:sz w:val="28"/>
          <w:szCs w:val="28"/>
        </w:rPr>
        <w:t>Данное поле может не отображаться в распечатанной справке, но его заполнение является необходимым для корректного отображения в разделе 5 справки суммарной декларированной стоимости ценных бумаг, включая доли участия в коммерческих организациях. Таким образом, сумма, указанная в данном поле, будет автоматически включена в итоговую сумму по разделу 5 справки.</w:t>
      </w:r>
    </w:p>
    <w:p w14:paraId="012E68CB">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Основание участия</w:t>
      </w:r>
      <w:r>
        <w:rPr>
          <w:rFonts w:ascii="Times New Roman" w:hAnsi="Times New Roman"/>
          <w:b/>
          <w:sz w:val="28"/>
        </w:rPr>
        <w:t>"</w:t>
      </w:r>
      <w:r>
        <w:rPr>
          <w:rFonts w:ascii="Times New Roman" w:hAnsi="Times New Roman"/>
          <w:sz w:val="28"/>
          <w:szCs w:val="28"/>
        </w:rPr>
        <w:t xml:space="preserve"> указывается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 а не наименование и реквизиты договора, в рамках которого акции были зачислены на счет клиента – служащего (работника) (наименование и реквизиты договора на брокерское обслуживание и (или) депозитарного договора, и т.п.). Подтверждением права собственности на ценные бумаги, права на которые подлежат учету на счетах депо или лицевых счетах, открытых соответственно депозитариями или держателями реестра, является запись по таким счетам. Подтверждением внесения записи по указанным счетам является выписка по счету депо или лицевому счету, выдаваемая соответственно депозитарием или держателем реестра.</w:t>
      </w:r>
    </w:p>
    <w:p w14:paraId="6C76D2FD">
      <w:pPr>
        <w:pStyle w:val="193"/>
        <w:ind w:left="0" w:firstLine="567"/>
        <w:rPr>
          <w:rFonts w:ascii="Times New Roman" w:hAnsi="Times New Roman"/>
          <w:sz w:val="28"/>
          <w:szCs w:val="28"/>
        </w:rPr>
      </w:pPr>
      <w:r>
        <w:rPr>
          <w:rFonts w:ascii="Times New Roman" w:hAnsi="Times New Roman"/>
          <w:sz w:val="28"/>
          <w:szCs w:val="28"/>
        </w:rPr>
        <w:t xml:space="preserve">В случае, когда сделка по приобретению акций (иностранных акций) заключена на организованных торгах, на которых информация, позволяющая идентифицировать подавших заявки участников торгов, не раскрывается в ходе торгов другим участникам, в графе </w:t>
      </w:r>
      <w:r>
        <w:rPr>
          <w:rFonts w:ascii="Times New Roman" w:hAnsi="Times New Roman"/>
          <w:b/>
          <w:sz w:val="28"/>
        </w:rPr>
        <w:t>"</w:t>
      </w:r>
      <w:r>
        <w:rPr>
          <w:rFonts w:ascii="Times New Roman" w:hAnsi="Times New Roman"/>
          <w:b/>
          <w:sz w:val="28"/>
          <w:szCs w:val="28"/>
        </w:rPr>
        <w:t>Основание участия</w:t>
      </w:r>
      <w:r>
        <w:rPr>
          <w:rFonts w:ascii="Times New Roman" w:hAnsi="Times New Roman"/>
          <w:b/>
          <w:sz w:val="28"/>
        </w:rPr>
        <w:t>"</w:t>
      </w:r>
      <w:r>
        <w:rPr>
          <w:rFonts w:ascii="Times New Roman" w:hAnsi="Times New Roman"/>
          <w:sz w:val="28"/>
          <w:szCs w:val="28"/>
        </w:rPr>
        <w:t xml:space="preserve"> указывается "приобретено на организованных торгах", а также указывается год приобретения.</w:t>
      </w:r>
    </w:p>
    <w:p w14:paraId="25892A4D">
      <w:pPr>
        <w:pStyle w:val="193"/>
        <w:ind w:left="567" w:firstLine="0"/>
        <w:outlineLvl w:val="2"/>
        <w:rPr>
          <w:rFonts w:ascii="Times New Roman" w:hAnsi="Times New Roman"/>
          <w:b/>
          <w:sz w:val="28"/>
          <w:szCs w:val="28"/>
        </w:rPr>
      </w:pPr>
      <w:bookmarkStart w:id="76" w:name="_Toc225936095"/>
      <w:r>
        <w:rPr>
          <w:rFonts w:ascii="Times New Roman" w:hAnsi="Times New Roman"/>
          <w:b/>
          <w:sz w:val="28"/>
          <w:szCs w:val="28"/>
        </w:rPr>
        <w:t>Подраздел 5.2. Иные ценные бумаги</w:t>
      </w:r>
      <w:bookmarkEnd w:id="76"/>
    </w:p>
    <w:p w14:paraId="1A288AB1">
      <w:pPr>
        <w:pStyle w:val="193"/>
        <w:numPr>
          <w:ilvl w:val="0"/>
          <w:numId w:val="1"/>
        </w:numPr>
        <w:ind w:left="0" w:firstLine="567"/>
        <w:rPr>
          <w:rFonts w:ascii="Times New Roman" w:hAnsi="Times New Roman"/>
          <w:sz w:val="28"/>
          <w:szCs w:val="28"/>
        </w:rPr>
      </w:pPr>
      <w:r>
        <w:rPr>
          <w:rFonts w:ascii="Times New Roman" w:hAnsi="Times New Roman"/>
          <w:sz w:val="28"/>
          <w:szCs w:val="28"/>
        </w:rPr>
        <w:t>В подразделе 5.2 раздела 5 справки указываются все ценные бумаги по видам (облигации, векселя и другие), за исключением акций, указанных в подразделе 5.1 раздела 5 справки.</w:t>
      </w:r>
    </w:p>
    <w:p w14:paraId="205D5D0D">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Номинальная величина обязательства (руб.)"</w:t>
      </w:r>
      <w:r>
        <w:rPr>
          <w:rFonts w:ascii="Times New Roman" w:hAnsi="Times New Roman"/>
          <w:sz w:val="28"/>
          <w:szCs w:val="28"/>
        </w:rPr>
        <w:t xml:space="preserve"> отражается номинальная стоимость на отчетную дату. В данной графе указывается номинальная величина обязательства одной ценной бумаги, а не их совокупности. При этом отдельные ценные бумаги (инвестиционный пай паевого инвестиционного фонда, депозитарные расписки, закладные, ипотечные сертификаты участия, сберегательные сертификаты, цифровое свидетельство) не имеют номинальной стоимости. В этой связи данная графа не заполняется. </w:t>
      </w:r>
    </w:p>
    <w:p w14:paraId="38C790C4">
      <w:pPr>
        <w:pStyle w:val="193"/>
        <w:ind w:left="0" w:firstLine="567"/>
        <w:rPr>
          <w:rFonts w:ascii="Times New Roman" w:hAnsi="Times New Roman"/>
          <w:sz w:val="28"/>
          <w:szCs w:val="28"/>
        </w:rPr>
      </w:pPr>
      <w:r>
        <w:rPr>
          <w:rFonts w:ascii="Times New Roman" w:hAnsi="Times New Roman"/>
          <w:sz w:val="28"/>
          <w:szCs w:val="28"/>
        </w:rPr>
        <w:t>Амортизация облигации, под которой понимается частичное погашение номинала облигации, то есть возврат части вложенных денежных средств, влечет уменьшение номинальной стоимости такой облигации на отчетную дату. Выплата купонного дохода не свидетельствует об амортизации облигации.</w:t>
      </w:r>
    </w:p>
    <w:p w14:paraId="5B098F43">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Общая стоимость (руб.)"</w:t>
      </w:r>
      <w:r>
        <w:rPr>
          <w:rFonts w:ascii="Times New Roman" w:hAnsi="Times New Roman"/>
          <w:sz w:val="28"/>
          <w:szCs w:val="28"/>
        </w:rPr>
        <w:t xml:space="preserve">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на дату приобретения). СПО "Справки БК" рассматриваемую графу предзаполняет, исходя из значений в позициях "Номинальная величина обязательства (руб.)" и "Общее количество". Вместе с тем если известна стоимость приобретения, то данная информация приоритетна при заполнении рассматриваемой графы.</w:t>
      </w:r>
    </w:p>
    <w:p w14:paraId="18C9D1F0">
      <w:pPr>
        <w:pStyle w:val="193"/>
        <w:ind w:left="0" w:firstLine="567"/>
        <w:rPr>
          <w:rFonts w:ascii="Times New Roman" w:hAnsi="Times New Roman"/>
          <w:sz w:val="28"/>
          <w:szCs w:val="28"/>
        </w:rPr>
      </w:pPr>
      <w:r>
        <w:rPr>
          <w:rFonts w:ascii="Times New Roman" w:hAnsi="Times New Roman"/>
          <w:sz w:val="28"/>
          <w:szCs w:val="28"/>
        </w:rPr>
        <w:t xml:space="preserve">Для значений, выраженных в иностранной валюте, стоимость указывается в рублях по курсу Банка России на отчетную дату </w:t>
      </w:r>
      <w:r>
        <w:rPr>
          <w:rFonts w:ascii="Times New Roman" w:hAnsi="Times New Roman" w:eastAsia="Times New Roman"/>
          <w:sz w:val="28"/>
          <w:szCs w:val="28"/>
          <w:lang w:eastAsia="ru-RU"/>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eastAsia="Times New Roman"/>
          <w:sz w:val="28"/>
          <w:szCs w:val="28"/>
          <w:lang w:eastAsia="ru-RU"/>
        </w:rPr>
        <w:t>)</w:t>
      </w:r>
      <w:r>
        <w:rPr>
          <w:rStyle w:val="17"/>
          <w:rFonts w:ascii="Times New Roman" w:hAnsi="Times New Roman" w:eastAsia="Times New Roman"/>
          <w:sz w:val="28"/>
          <w:szCs w:val="28"/>
          <w:lang w:eastAsia="ru-RU"/>
        </w:rPr>
        <w:fldChar w:fldCharType="end"/>
      </w:r>
      <w:r>
        <w:rPr>
          <w:rFonts w:ascii="Times New Roman" w:hAnsi="Times New Roman"/>
          <w:sz w:val="28"/>
          <w:szCs w:val="28"/>
        </w:rPr>
        <w:t xml:space="preserve">. </w:t>
      </w:r>
    </w:p>
    <w:p w14:paraId="11879A70">
      <w:pPr>
        <w:pStyle w:val="193"/>
        <w:numPr>
          <w:ilvl w:val="0"/>
          <w:numId w:val="1"/>
        </w:numPr>
        <w:tabs>
          <w:tab w:val="left" w:pos="1418"/>
        </w:tabs>
        <w:ind w:left="0" w:firstLine="567"/>
        <w:rPr>
          <w:rFonts w:ascii="Times New Roman" w:hAnsi="Times New Roman"/>
          <w:sz w:val="28"/>
          <w:szCs w:val="28"/>
        </w:rPr>
      </w:pPr>
      <w:r>
        <w:rPr>
          <w:rFonts w:ascii="Times New Roman" w:hAnsi="Times New Roman"/>
          <w:sz w:val="28"/>
          <w:szCs w:val="28"/>
        </w:rPr>
        <w:t>Следует обращать внимание, что в случае наличия в общем имуществе паевого инвестиционного фонда иностранных финансовых инструментов, служащим (работником), владеющим инвестиционным паем такого фонда, будет нарушаться запрет, предусмотренный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 случае распространения на него указанного запрета).</w:t>
      </w:r>
    </w:p>
    <w:p w14:paraId="517FDEC7">
      <w:pPr>
        <w:pStyle w:val="193"/>
        <w:tabs>
          <w:tab w:val="left" w:pos="1418"/>
        </w:tabs>
        <w:ind w:left="0" w:firstLine="567"/>
        <w:rPr>
          <w:rFonts w:ascii="Times New Roman" w:hAnsi="Times New Roman"/>
          <w:sz w:val="28"/>
          <w:szCs w:val="28"/>
        </w:rPr>
      </w:pPr>
      <w:r>
        <w:rPr>
          <w:rFonts w:ascii="Times New Roman" w:hAnsi="Times New Roman"/>
          <w:sz w:val="28"/>
          <w:szCs w:val="28"/>
        </w:rPr>
        <w:t>Данное положение, а также иные особенности владения государственными гражданскими служащими Российской Федерации ценных бумаг содержатся в письме Минтруда России от 22 сентября 2022 г. № 28-7/10/В-12862 (</w:t>
      </w:r>
      <w:r>
        <w:fldChar w:fldCharType="begin"/>
      </w:r>
      <w:r>
        <w:instrText xml:space="preserve"> HYPERLINK "https://mintrud.gov.ru/ministry/programms/anticorruption/9/21" </w:instrText>
      </w:r>
      <w:r>
        <w:fldChar w:fldCharType="separate"/>
      </w:r>
      <w:r>
        <w:rPr>
          <w:rStyle w:val="17"/>
          <w:rFonts w:ascii="Times New Roman" w:hAnsi="Times New Roman"/>
          <w:sz w:val="28"/>
          <w:szCs w:val="28"/>
        </w:rPr>
        <w:t>https://mintrud.gov.ru/ministry/programms/anticorruption/9/21</w:t>
      </w:r>
      <w:r>
        <w:rPr>
          <w:rStyle w:val="17"/>
          <w:rFonts w:ascii="Times New Roman" w:hAnsi="Times New Roman"/>
          <w:sz w:val="28"/>
          <w:szCs w:val="28"/>
        </w:rPr>
        <w:fldChar w:fldCharType="end"/>
      </w:r>
      <w:r>
        <w:rPr>
          <w:rFonts w:ascii="Times New Roman" w:hAnsi="Times New Roman"/>
          <w:sz w:val="28"/>
          <w:szCs w:val="28"/>
        </w:rPr>
        <w:t>).</w:t>
      </w:r>
    </w:p>
    <w:p w14:paraId="6F90B40D">
      <w:pPr>
        <w:pStyle w:val="193"/>
        <w:tabs>
          <w:tab w:val="left" w:pos="1418"/>
        </w:tabs>
        <w:ind w:left="0" w:firstLine="567"/>
        <w:rPr>
          <w:rFonts w:ascii="Times New Roman" w:hAnsi="Times New Roman"/>
          <w:sz w:val="28"/>
          <w:szCs w:val="28"/>
        </w:rPr>
      </w:pPr>
    </w:p>
    <w:p w14:paraId="0F75996D">
      <w:pPr>
        <w:pStyle w:val="3"/>
        <w:ind w:firstLine="0"/>
        <w:jc w:val="center"/>
        <w:rPr>
          <w:b w:val="0"/>
        </w:rPr>
      </w:pPr>
      <w:bookmarkStart w:id="77" w:name="_Toc225936096"/>
      <w:r>
        <w:t>РАЗДЕЛ 6. СВЕДЕНИЯ ОБ ОБЯЗАТЕЛЬСТВАХ ИМУЩЕСТВЕННОГО ХАРАКТЕРА</w:t>
      </w:r>
      <w:bookmarkEnd w:id="77"/>
    </w:p>
    <w:p w14:paraId="2D8BA724">
      <w:pPr>
        <w:ind w:firstLine="851"/>
        <w:jc w:val="center"/>
        <w:rPr>
          <w:rFonts w:ascii="Times New Roman" w:hAnsi="Times New Roman"/>
          <w:sz w:val="28"/>
          <w:szCs w:val="28"/>
        </w:rPr>
      </w:pPr>
    </w:p>
    <w:p w14:paraId="6197E0ED">
      <w:pPr>
        <w:pStyle w:val="4"/>
        <w:rPr>
          <w:b w:val="0"/>
        </w:rPr>
      </w:pPr>
      <w:bookmarkStart w:id="78" w:name="_Toc225936097"/>
      <w:r>
        <w:t>Подраздел 6.1. Объекты недвижимого имущества, находящиеся в пользовании</w:t>
      </w:r>
      <w:bookmarkEnd w:id="78"/>
    </w:p>
    <w:p w14:paraId="1A9CBD91">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данном подразделе указывается недвижимое имущество (муниципальное, ведомственное, арендованное и т.п.), находящееся во временном пользовании (не в собственности) служащего (работника), его супруги (супруга), несовершеннолетних детей, а также основание пользования (договор аренды, фактическое предоставление и другие). </w:t>
      </w:r>
    </w:p>
    <w:p w14:paraId="0A211282">
      <w:pPr>
        <w:pStyle w:val="193"/>
        <w:ind w:left="0" w:firstLine="567"/>
        <w:rPr>
          <w:rFonts w:ascii="Times New Roman" w:hAnsi="Times New Roman"/>
          <w:sz w:val="28"/>
          <w:szCs w:val="28"/>
        </w:rPr>
      </w:pPr>
      <w:r>
        <w:rPr>
          <w:rFonts w:ascii="Times New Roman" w:hAnsi="Times New Roman"/>
          <w:sz w:val="28"/>
          <w:szCs w:val="28"/>
        </w:rPr>
        <w:t>В данном подразделе также подлежат отражению объекты недвижимого имущества, находящиеся в пользовании гражданина, зарегистрированного в качестве индивидуального предпринимателя, в отношении которого представляется справка.</w:t>
      </w:r>
    </w:p>
    <w:p w14:paraId="31CFCCDC">
      <w:pPr>
        <w:pStyle w:val="193"/>
        <w:numPr>
          <w:ilvl w:val="0"/>
          <w:numId w:val="1"/>
        </w:numPr>
        <w:ind w:left="0" w:firstLine="567"/>
        <w:rPr>
          <w:rFonts w:ascii="Times New Roman" w:hAnsi="Times New Roman"/>
          <w:sz w:val="28"/>
          <w:szCs w:val="28"/>
        </w:rPr>
      </w:pPr>
      <w:r>
        <w:rPr>
          <w:rFonts w:ascii="Times New Roman" w:hAnsi="Times New Roman"/>
          <w:sz w:val="28"/>
          <w:szCs w:val="28"/>
        </w:rPr>
        <w:t>При заполнении данного подраздела требуется указывать объекты недвижимого имущества, которые непосредственно находятся в пользовании служащего (работника) и (или) его супруги (супруга), несовершеннолетнего ребенка на основании заключенных договоров (аренда, безвозмездное пользование и т.д.) или в результате фактического предоставления в пользование.</w:t>
      </w:r>
    </w:p>
    <w:p w14:paraId="0BF2E047">
      <w:pPr>
        <w:pStyle w:val="193"/>
        <w:ind w:left="0" w:firstLine="567"/>
        <w:rPr>
          <w:rFonts w:ascii="Times New Roman" w:hAnsi="Times New Roman"/>
          <w:sz w:val="28"/>
          <w:szCs w:val="28"/>
        </w:rPr>
      </w:pPr>
      <w:r>
        <w:rPr>
          <w:rFonts w:ascii="Times New Roman" w:hAnsi="Times New Roman"/>
          <w:sz w:val="28"/>
          <w:szCs w:val="28"/>
        </w:rPr>
        <w:t xml:space="preserve">Не требуется в данном подразделе справки одного из супругов указывать все объекты недвижимости, находящиеся в собственности другого супруга, при одновременном наличии следующих двух условий: </w:t>
      </w:r>
    </w:p>
    <w:p w14:paraId="7F92BAC9">
      <w:pPr>
        <w:pStyle w:val="193"/>
        <w:numPr>
          <w:ilvl w:val="0"/>
          <w:numId w:val="10"/>
        </w:numPr>
        <w:tabs>
          <w:tab w:val="left" w:pos="993"/>
        </w:tabs>
        <w:ind w:left="0" w:firstLine="567"/>
        <w:rPr>
          <w:rFonts w:ascii="Times New Roman" w:hAnsi="Times New Roman"/>
          <w:sz w:val="28"/>
          <w:szCs w:val="28"/>
        </w:rPr>
      </w:pPr>
      <w:r>
        <w:rPr>
          <w:rFonts w:ascii="Times New Roman" w:hAnsi="Times New Roman"/>
          <w:sz w:val="28"/>
          <w:szCs w:val="28"/>
        </w:rPr>
        <w:t xml:space="preserve">отсутствует фактическое пользование этим объектом супругом; </w:t>
      </w:r>
    </w:p>
    <w:p w14:paraId="3B14BDA9">
      <w:pPr>
        <w:pStyle w:val="193"/>
        <w:numPr>
          <w:ilvl w:val="0"/>
          <w:numId w:val="10"/>
        </w:numPr>
        <w:tabs>
          <w:tab w:val="left" w:pos="993"/>
        </w:tabs>
        <w:ind w:left="0" w:firstLine="567"/>
        <w:rPr>
          <w:rFonts w:ascii="Times New Roman" w:hAnsi="Times New Roman"/>
          <w:sz w:val="28"/>
          <w:szCs w:val="28"/>
        </w:rPr>
      </w:pPr>
      <w:r>
        <w:rPr>
          <w:rFonts w:ascii="Times New Roman" w:hAnsi="Times New Roman"/>
          <w:sz w:val="28"/>
          <w:szCs w:val="28"/>
        </w:rPr>
        <w:t xml:space="preserve">эти объекты указаны в подразделе 3.1 раздела 3 соответствующей справки. </w:t>
      </w:r>
    </w:p>
    <w:p w14:paraId="25BCD3FD">
      <w:pPr>
        <w:pStyle w:val="193"/>
        <w:ind w:left="567" w:firstLine="0"/>
        <w:rPr>
          <w:rFonts w:ascii="Times New Roman" w:hAnsi="Times New Roman"/>
          <w:sz w:val="28"/>
          <w:szCs w:val="28"/>
        </w:rPr>
      </w:pPr>
      <w:r>
        <w:rPr>
          <w:rFonts w:ascii="Times New Roman" w:hAnsi="Times New Roman"/>
          <w:sz w:val="28"/>
          <w:szCs w:val="28"/>
        </w:rPr>
        <w:t>Аналогично в отношении несовершеннолетних детей.</w:t>
      </w:r>
    </w:p>
    <w:p w14:paraId="581D5159">
      <w:pPr>
        <w:pStyle w:val="193"/>
        <w:ind w:left="0" w:firstLine="567"/>
        <w:rPr>
          <w:rFonts w:ascii="Times New Roman" w:hAnsi="Times New Roman"/>
          <w:sz w:val="28"/>
          <w:szCs w:val="28"/>
        </w:rPr>
      </w:pPr>
      <w:r>
        <w:rPr>
          <w:rFonts w:ascii="Times New Roman" w:hAnsi="Times New Roman"/>
          <w:sz w:val="28"/>
          <w:szCs w:val="28"/>
        </w:rPr>
        <w:t>Так, например, жилое помещение, в котором зарегистрировано лицо, в отношении которого представляется справка, подлежит обязательному отражению в подразделе 3.1 раздела 3 (в случае наличия у такого лица права собственности) или в настоящем подразделе справки.</w:t>
      </w:r>
    </w:p>
    <w:p w14:paraId="77C6A543">
      <w:pPr>
        <w:pStyle w:val="193"/>
        <w:numPr>
          <w:ilvl w:val="0"/>
          <w:numId w:val="1"/>
        </w:numPr>
        <w:ind w:left="0" w:firstLine="567"/>
        <w:rPr>
          <w:rFonts w:ascii="Times New Roman" w:hAnsi="Times New Roman"/>
          <w:sz w:val="28"/>
          <w:szCs w:val="28"/>
        </w:rPr>
      </w:pPr>
      <w:r>
        <w:rPr>
          <w:rFonts w:ascii="Times New Roman" w:hAnsi="Times New Roman"/>
          <w:sz w:val="28"/>
          <w:szCs w:val="28"/>
        </w:rPr>
        <w:t>Данный подраздел заполняется в обязательном порядке в отношении тех служащих (работников), их супруг (супругов) и несовершеннолетних детей, которые по месту прохождения службы или месту работы (например, в соответствующем субъекте Российской Федерации) имеют временную регистрацию.</w:t>
      </w:r>
    </w:p>
    <w:p w14:paraId="1ABEE4B1">
      <w:pPr>
        <w:pStyle w:val="193"/>
        <w:numPr>
          <w:ilvl w:val="0"/>
          <w:numId w:val="1"/>
        </w:numPr>
        <w:ind w:left="0" w:firstLine="567"/>
        <w:rPr>
          <w:rFonts w:ascii="Times New Roman" w:hAnsi="Times New Roman"/>
          <w:sz w:val="28"/>
          <w:szCs w:val="28"/>
        </w:rPr>
      </w:pPr>
      <w:r>
        <w:rPr>
          <w:rFonts w:ascii="Times New Roman" w:hAnsi="Times New Roman"/>
          <w:sz w:val="28"/>
          <w:szCs w:val="28"/>
        </w:rPr>
        <w:t>В том числе указанию подлежат сведения о жилом помещении (дом, квартира, комната), нежилом помещении, земельном участке, гараже и т.д.:</w:t>
      </w:r>
    </w:p>
    <w:p w14:paraId="28581CC4">
      <w:pPr>
        <w:ind w:firstLine="567"/>
        <w:rPr>
          <w:rFonts w:ascii="Times New Roman" w:hAnsi="Times New Roman"/>
          <w:sz w:val="28"/>
          <w:szCs w:val="28"/>
        </w:rPr>
      </w:pPr>
      <w:r>
        <w:rPr>
          <w:rFonts w:ascii="Times New Roman" w:hAnsi="Times New Roman"/>
          <w:sz w:val="28"/>
          <w:szCs w:val="28"/>
        </w:rPr>
        <w:t>1) не принадлежащих служащему (работнику) или членам его семьи на праве собственности или на праве нанимателя, но в которых у служащего (работника), членов его семьи имеется регистрация (постоянная или временная), за исключением, в том числе случая, когда лицо, супруга (супруг), несовершеннолетние дети зарегистрированы по адресу административного здания, являющегося местом прохождения федеральной государственной службы;</w:t>
      </w:r>
    </w:p>
    <w:p w14:paraId="57544319">
      <w:pPr>
        <w:ind w:firstLine="567"/>
        <w:rPr>
          <w:rFonts w:ascii="Times New Roman" w:hAnsi="Times New Roman"/>
          <w:sz w:val="28"/>
          <w:szCs w:val="28"/>
        </w:rPr>
      </w:pPr>
      <w:r>
        <w:rPr>
          <w:rFonts w:ascii="Times New Roman" w:hAnsi="Times New Roman"/>
          <w:sz w:val="28"/>
          <w:szCs w:val="28"/>
        </w:rPr>
        <w:t>2) где служащий (работник), члены его семьи фактически проживают без заключения договора аренды, безвозмездного пользования или социального найма;</w:t>
      </w:r>
    </w:p>
    <w:p w14:paraId="569F0340">
      <w:pPr>
        <w:ind w:firstLine="567"/>
        <w:rPr>
          <w:rFonts w:ascii="Times New Roman" w:hAnsi="Times New Roman"/>
          <w:sz w:val="28"/>
          <w:szCs w:val="28"/>
        </w:rPr>
      </w:pPr>
      <w:r>
        <w:rPr>
          <w:rFonts w:ascii="Times New Roman" w:hAnsi="Times New Roman"/>
          <w:sz w:val="28"/>
          <w:szCs w:val="28"/>
        </w:rPr>
        <w:t>3) занимаемых по договору аренды (найма, поднайма);</w:t>
      </w:r>
    </w:p>
    <w:p w14:paraId="2D4CA10B">
      <w:pPr>
        <w:ind w:firstLine="567"/>
        <w:rPr>
          <w:rFonts w:ascii="Times New Roman" w:hAnsi="Times New Roman"/>
          <w:sz w:val="28"/>
          <w:szCs w:val="28"/>
        </w:rPr>
      </w:pPr>
      <w:r>
        <w:rPr>
          <w:rFonts w:ascii="Times New Roman" w:hAnsi="Times New Roman"/>
          <w:sz w:val="28"/>
          <w:szCs w:val="28"/>
        </w:rPr>
        <w:t>4) занимаемых по договорам социального найма;</w:t>
      </w:r>
    </w:p>
    <w:p w14:paraId="6FCAE0F6">
      <w:pPr>
        <w:ind w:firstLine="567"/>
        <w:rPr>
          <w:rFonts w:ascii="Times New Roman" w:hAnsi="Times New Roman"/>
          <w:sz w:val="28"/>
          <w:szCs w:val="28"/>
        </w:rPr>
      </w:pPr>
      <w:r>
        <w:rPr>
          <w:rFonts w:ascii="Times New Roman" w:hAnsi="Times New Roman"/>
          <w:sz w:val="28"/>
          <w:szCs w:val="28"/>
        </w:rPr>
        <w:t>5) используемых для бытовых нужд, подлежащих регистрации, но не зарегистрированных в установленном порядке органами Росреестра, а также об объектах незавершенного строительства;</w:t>
      </w:r>
    </w:p>
    <w:p w14:paraId="55251F86">
      <w:pPr>
        <w:ind w:firstLine="567"/>
        <w:rPr>
          <w:rFonts w:ascii="Times New Roman" w:hAnsi="Times New Roman"/>
          <w:sz w:val="28"/>
          <w:szCs w:val="28"/>
        </w:rPr>
      </w:pPr>
      <w:r>
        <w:rPr>
          <w:rFonts w:ascii="Times New Roman" w:hAnsi="Times New Roman"/>
          <w:sz w:val="28"/>
          <w:szCs w:val="28"/>
        </w:rPr>
        <w:t>6) принадлежащих на праве пожизненного наследуемого владения земельным участком;</w:t>
      </w:r>
    </w:p>
    <w:p w14:paraId="0C372FB9">
      <w:pPr>
        <w:ind w:firstLine="567"/>
        <w:rPr>
          <w:rFonts w:ascii="Times New Roman" w:hAnsi="Times New Roman"/>
          <w:sz w:val="28"/>
          <w:szCs w:val="28"/>
        </w:rPr>
      </w:pPr>
      <w:r>
        <w:rPr>
          <w:rFonts w:ascii="Times New Roman" w:hAnsi="Times New Roman"/>
          <w:sz w:val="28"/>
          <w:szCs w:val="28"/>
        </w:rPr>
        <w:t>7) переданных объектах по договору или иному акту, но не зарегистрированных в установленном законодательством Российской Федерации порядке.</w:t>
      </w:r>
    </w:p>
    <w:p w14:paraId="3C2E9018">
      <w:pPr>
        <w:pStyle w:val="193"/>
        <w:numPr>
          <w:ilvl w:val="0"/>
          <w:numId w:val="1"/>
        </w:numPr>
        <w:ind w:left="0" w:firstLine="567"/>
        <w:rPr>
          <w:rFonts w:ascii="Times New Roman" w:hAnsi="Times New Roman"/>
          <w:sz w:val="28"/>
          <w:szCs w:val="28"/>
        </w:rPr>
      </w:pPr>
      <w:r>
        <w:rPr>
          <w:rFonts w:ascii="Times New Roman" w:hAnsi="Times New Roman"/>
          <w:sz w:val="28"/>
          <w:szCs w:val="28"/>
        </w:rPr>
        <w:t>Отражению подлежит также, например, земельный участок, на котором расположен частный дом, находящийся в пользовании.</w:t>
      </w:r>
    </w:p>
    <w:p w14:paraId="615AB1EC">
      <w:pPr>
        <w:pStyle w:val="193"/>
        <w:numPr>
          <w:ilvl w:val="0"/>
          <w:numId w:val="1"/>
        </w:numPr>
        <w:ind w:left="0" w:firstLine="567"/>
        <w:rPr>
          <w:rFonts w:ascii="Times New Roman" w:hAnsi="Times New Roman"/>
          <w:sz w:val="28"/>
          <w:szCs w:val="28"/>
        </w:rPr>
      </w:pPr>
      <w:r>
        <w:rPr>
          <w:rFonts w:ascii="Times New Roman" w:hAnsi="Times New Roman"/>
          <w:sz w:val="28"/>
          <w:szCs w:val="28"/>
        </w:rPr>
        <w:t>При этом указывается общая площадь объекта недвижимого имущества, находящегося в пользовании.</w:t>
      </w:r>
    </w:p>
    <w:p w14:paraId="6F689654">
      <w:pPr>
        <w:pStyle w:val="193"/>
        <w:numPr>
          <w:ilvl w:val="0"/>
          <w:numId w:val="1"/>
        </w:numPr>
        <w:ind w:left="0" w:firstLine="567"/>
        <w:rPr>
          <w:rFonts w:ascii="Times New Roman" w:hAnsi="Times New Roman"/>
          <w:sz w:val="28"/>
          <w:szCs w:val="28"/>
        </w:rPr>
      </w:pPr>
      <w:r>
        <w:rPr>
          <w:rFonts w:ascii="Times New Roman" w:hAnsi="Times New Roman"/>
          <w:sz w:val="28"/>
          <w:szCs w:val="28"/>
        </w:rPr>
        <w:t>Сведения об объектах недвижимого имущества, находящихся в пользовании, указываются по состоянию на отчетную дату.</w:t>
      </w:r>
    </w:p>
    <w:p w14:paraId="1A5C0E6D">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szCs w:val="28"/>
        </w:rPr>
        <w:t>"Вид имущества</w:t>
      </w:r>
      <w:r>
        <w:rPr>
          <w:rFonts w:ascii="Times New Roman" w:hAnsi="Times New Roman"/>
          <w:sz w:val="28"/>
          <w:szCs w:val="28"/>
        </w:rPr>
        <w:t>" указывается вид недвижимого имущества (земельный участок, жилой дом, дача, квартира, комната и др.).</w:t>
      </w:r>
    </w:p>
    <w:p w14:paraId="58A23374">
      <w:pPr>
        <w:pStyle w:val="193"/>
        <w:widowControl w:val="0"/>
        <w:numPr>
          <w:ilvl w:val="0"/>
          <w:numId w:val="1"/>
        </w:numPr>
        <w:ind w:left="0" w:firstLine="567"/>
        <w:rPr>
          <w:rFonts w:ascii="Times New Roman" w:hAnsi="Times New Roman"/>
          <w:sz w:val="28"/>
          <w:szCs w:val="28"/>
        </w:rPr>
      </w:pPr>
      <w:bookmarkStart w:id="79" w:name="Par626"/>
      <w:bookmarkEnd w:id="79"/>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Вид и сроки пользования</w:t>
      </w:r>
      <w:r>
        <w:rPr>
          <w:rFonts w:ascii="Times New Roman" w:hAnsi="Times New Roman"/>
          <w:b/>
          <w:sz w:val="28"/>
        </w:rPr>
        <w:t>"</w:t>
      </w:r>
      <w:r>
        <w:rPr>
          <w:rFonts w:ascii="Times New Roman" w:hAnsi="Times New Roman"/>
          <w:sz w:val="28"/>
          <w:szCs w:val="28"/>
        </w:rPr>
        <w:t xml:space="preserve"> указываются вид пользования (аренда, безвозмездное пользование и др.) и сроки пользования.</w:t>
      </w:r>
    </w:p>
    <w:p w14:paraId="619CCA65">
      <w:pPr>
        <w:pStyle w:val="193"/>
        <w:numPr>
          <w:ilvl w:val="0"/>
          <w:numId w:val="1"/>
        </w:numPr>
        <w:ind w:left="0" w:firstLine="567"/>
        <w:rPr>
          <w:rFonts w:ascii="Times New Roman" w:hAnsi="Times New Roman"/>
          <w:sz w:val="28"/>
          <w:szCs w:val="28"/>
        </w:rPr>
      </w:pPr>
      <w:bookmarkStart w:id="80" w:name="Par627"/>
      <w:bookmarkEnd w:id="80"/>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Основание пользования</w:t>
      </w:r>
      <w:r>
        <w:rPr>
          <w:rFonts w:ascii="Times New Roman" w:hAnsi="Times New Roman"/>
          <w:b/>
          <w:sz w:val="28"/>
        </w:rPr>
        <w:t>"</w:t>
      </w:r>
      <w:r>
        <w:rPr>
          <w:rFonts w:ascii="Times New Roman" w:hAnsi="Times New Roman"/>
          <w:sz w:val="28"/>
          <w:szCs w:val="28"/>
        </w:rPr>
        <w:t xml:space="preserve"> указываются основание пользования (договор, фактическое предоставление и др.), а также реквизиты (дата, номер) соответствующего договора или акта. Если имущество предоставлено в безвозмездное пользование или как фактическое предоставление, рекомендуется указывать фамилию, имя и отчество лица, предоставившего объект недвижимого имущества.</w:t>
      </w:r>
    </w:p>
    <w:p w14:paraId="570D7C0D">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В данном подразделе </w:t>
      </w:r>
      <w:r>
        <w:rPr>
          <w:rFonts w:ascii="Times New Roman" w:hAnsi="Times New Roman"/>
          <w:b/>
          <w:sz w:val="28"/>
          <w:szCs w:val="28"/>
        </w:rPr>
        <w:t>не указывается</w:t>
      </w:r>
      <w:r>
        <w:rPr>
          <w:rFonts w:ascii="Times New Roman" w:hAnsi="Times New Roman"/>
          <w:sz w:val="28"/>
          <w:szCs w:val="28"/>
        </w:rPr>
        <w:t xml:space="preserve"> недвижимое имущество, которое находится в собственности и уже отражено в подразделе 3.1 раздела 3 справки. </w:t>
      </w:r>
    </w:p>
    <w:p w14:paraId="3B5CE620">
      <w:pPr>
        <w:pStyle w:val="193"/>
        <w:ind w:left="0" w:firstLine="567"/>
        <w:rPr>
          <w:rFonts w:ascii="Times New Roman" w:hAnsi="Times New Roman"/>
          <w:sz w:val="28"/>
          <w:szCs w:val="28"/>
        </w:rPr>
      </w:pPr>
      <w:r>
        <w:rPr>
          <w:rFonts w:ascii="Times New Roman" w:hAnsi="Times New Roman"/>
          <w:sz w:val="28"/>
          <w:szCs w:val="28"/>
        </w:rPr>
        <w:t>Также не подлежат указанию земельные участки, расположенные под многоквартирными домами, а также под надземными или подземными гаражными комплексами, в том числе многоэтажными. Одновременно не подлежит отражению информация о земельном участке в рамках гаражно-строительного и иных кооперативов.</w:t>
      </w:r>
    </w:p>
    <w:p w14:paraId="75F52693">
      <w:pPr>
        <w:pStyle w:val="199"/>
        <w:numPr>
          <w:ilvl w:val="0"/>
          <w:numId w:val="1"/>
        </w:numPr>
        <w:shd w:val="clear" w:color="auto" w:fill="auto"/>
        <w:spacing w:after="0" w:line="240" w:lineRule="auto"/>
        <w:ind w:left="0" w:firstLine="567"/>
        <w:jc w:val="both"/>
        <w:rPr>
          <w:rFonts w:ascii="Times New Roman" w:hAnsi="Times New Roman"/>
        </w:rPr>
      </w:pPr>
      <w:r>
        <w:rPr>
          <w:rFonts w:ascii="Times New Roman" w:hAnsi="Times New Roman"/>
        </w:rPr>
        <w:t xml:space="preserve">В случае, если объект недвижимого имущества находится в долевой собственности у служащего (работника) и его супруги (супруга), сведения о том, что служащий (работник) пользуется долей объекта недвижимого имущества, принадлежащей на праве собственности его супруге (супругу), в подраздел 6.1. раздела 6 справки не вносятся. </w:t>
      </w:r>
    </w:p>
    <w:p w14:paraId="58D5C425">
      <w:pPr>
        <w:pStyle w:val="199"/>
        <w:shd w:val="clear" w:color="auto" w:fill="auto"/>
        <w:spacing w:after="0" w:line="240" w:lineRule="auto"/>
        <w:ind w:firstLine="567"/>
        <w:jc w:val="both"/>
        <w:rPr>
          <w:rFonts w:ascii="Times New Roman" w:hAnsi="Times New Roman"/>
        </w:rPr>
      </w:pPr>
      <w:r>
        <w:rPr>
          <w:rFonts w:ascii="Times New Roman" w:hAnsi="Times New Roman"/>
        </w:rPr>
        <w:t>При этом данные доли собственности должны быть отражены в подразделе 3.1. раздела 3 справок служащего (работника) и его супруги (супруга).</w:t>
      </w:r>
    </w:p>
    <w:p w14:paraId="1BD2AB44">
      <w:pPr>
        <w:pStyle w:val="199"/>
        <w:shd w:val="clear" w:color="auto" w:fill="auto"/>
        <w:spacing w:after="0" w:line="240" w:lineRule="auto"/>
        <w:ind w:firstLine="567"/>
        <w:jc w:val="both"/>
        <w:rPr>
          <w:rFonts w:ascii="Times New Roman" w:hAnsi="Times New Roman"/>
        </w:rPr>
      </w:pPr>
      <w:r>
        <w:rPr>
          <w:rFonts w:ascii="Times New Roman" w:hAnsi="Times New Roman"/>
        </w:rPr>
        <w:t>Аналогично в отношении несовершеннолетних детей.</w:t>
      </w:r>
    </w:p>
    <w:p w14:paraId="7C0111C9">
      <w:pPr>
        <w:pStyle w:val="199"/>
        <w:shd w:val="clear" w:color="auto" w:fill="auto"/>
        <w:spacing w:after="0" w:line="240" w:lineRule="auto"/>
        <w:ind w:firstLine="567"/>
        <w:jc w:val="both"/>
        <w:rPr>
          <w:rFonts w:ascii="Times New Roman" w:hAnsi="Times New Roman"/>
        </w:rPr>
      </w:pPr>
      <w:r>
        <w:rPr>
          <w:rFonts w:ascii="Times New Roman" w:hAnsi="Times New Roman"/>
        </w:rPr>
        <w:t>В иных случаях, при которых доля собственности находится у лица, в отношении которого справка не представляется, такая доля подлежит отражению в данном подразделе при наличии фактов пользования.</w:t>
      </w:r>
    </w:p>
    <w:p w14:paraId="36EDAABF">
      <w:pPr>
        <w:pStyle w:val="193"/>
        <w:numPr>
          <w:ilvl w:val="0"/>
          <w:numId w:val="1"/>
        </w:numPr>
        <w:ind w:left="0" w:firstLine="567"/>
        <w:rPr>
          <w:rFonts w:ascii="Times New Roman" w:hAnsi="Times New Roman"/>
          <w:sz w:val="28"/>
          <w:szCs w:val="28"/>
        </w:rPr>
      </w:pPr>
      <w:r>
        <w:rPr>
          <w:rFonts w:ascii="Times New Roman" w:hAnsi="Times New Roman"/>
          <w:sz w:val="28"/>
          <w:szCs w:val="28"/>
        </w:rPr>
        <w:t xml:space="preserve">Графа </w:t>
      </w:r>
      <w:r>
        <w:rPr>
          <w:rFonts w:ascii="Times New Roman" w:hAnsi="Times New Roman"/>
          <w:b/>
          <w:sz w:val="28"/>
        </w:rPr>
        <w:t>"</w:t>
      </w:r>
      <w:r>
        <w:rPr>
          <w:rFonts w:ascii="Times New Roman" w:hAnsi="Times New Roman"/>
          <w:b/>
          <w:sz w:val="28"/>
          <w:szCs w:val="28"/>
        </w:rPr>
        <w:t>Площадь (кв. м)</w:t>
      </w:r>
      <w:r>
        <w:rPr>
          <w:rFonts w:ascii="Times New Roman" w:hAnsi="Times New Roman"/>
          <w:b/>
          <w:sz w:val="28"/>
        </w:rPr>
        <w:t>"</w:t>
      </w:r>
      <w:r>
        <w:rPr>
          <w:rFonts w:ascii="Times New Roman" w:hAnsi="Times New Roman"/>
          <w:sz w:val="28"/>
          <w:szCs w:val="28"/>
        </w:rPr>
        <w:t xml:space="preserve"> заполняется на основании правоустанавливающих документов, а в случае их отсутствия – исходя из фактических значений.</w:t>
      </w:r>
    </w:p>
    <w:p w14:paraId="56BC32E8">
      <w:pPr>
        <w:pStyle w:val="193"/>
        <w:ind w:left="0" w:firstLine="567"/>
        <w:outlineLvl w:val="2"/>
        <w:rPr>
          <w:rFonts w:ascii="Times New Roman" w:hAnsi="Times New Roman"/>
          <w:b/>
          <w:sz w:val="28"/>
          <w:szCs w:val="28"/>
        </w:rPr>
      </w:pPr>
      <w:bookmarkStart w:id="81" w:name="_Toc225936098"/>
      <w:r>
        <w:rPr>
          <w:rFonts w:ascii="Times New Roman" w:hAnsi="Times New Roman"/>
          <w:b/>
          <w:sz w:val="28"/>
          <w:szCs w:val="28"/>
        </w:rPr>
        <w:t>Подраздел 6.2. Срочные обязательства финансового характера</w:t>
      </w:r>
      <w:bookmarkEnd w:id="81"/>
    </w:p>
    <w:p w14:paraId="0CF9E01A">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данном подразделе указывается </w:t>
      </w:r>
      <w:r>
        <w:rPr>
          <w:rFonts w:ascii="Times New Roman" w:hAnsi="Times New Roman"/>
          <w:b/>
          <w:sz w:val="28"/>
          <w:szCs w:val="28"/>
        </w:rPr>
        <w:t>каждое</w:t>
      </w:r>
      <w:r>
        <w:rPr>
          <w:rFonts w:ascii="Times New Roman" w:hAnsi="Times New Roman"/>
          <w:sz w:val="28"/>
          <w:szCs w:val="28"/>
        </w:rPr>
        <w:t xml:space="preserve"> имеющееся на отчетную дату срочное обязательство финансового характера на сумму, </w:t>
      </w:r>
      <w:r>
        <w:rPr>
          <w:rFonts w:ascii="Times New Roman" w:hAnsi="Times New Roman"/>
          <w:b/>
          <w:sz w:val="28"/>
          <w:szCs w:val="28"/>
        </w:rPr>
        <w:t>равную или превышающую</w:t>
      </w:r>
      <w:r>
        <w:rPr>
          <w:rFonts w:ascii="Times New Roman" w:hAnsi="Times New Roman"/>
          <w:sz w:val="28"/>
          <w:szCs w:val="28"/>
        </w:rPr>
        <w:t xml:space="preserve"> 500 000 руб., кредитором или должником по которому является служащий (работник), его супруга (супруг), несовершеннолетний ребенок.</w:t>
      </w:r>
    </w:p>
    <w:p w14:paraId="6916F58C">
      <w:pPr>
        <w:pStyle w:val="193"/>
        <w:ind w:left="0" w:firstLine="567"/>
        <w:rPr>
          <w:rFonts w:ascii="Times New Roman" w:hAnsi="Times New Roman"/>
          <w:sz w:val="28"/>
          <w:szCs w:val="28"/>
        </w:rPr>
      </w:pPr>
      <w:r>
        <w:rPr>
          <w:rFonts w:ascii="Times New Roman" w:hAnsi="Times New Roman"/>
          <w:sz w:val="28"/>
          <w:szCs w:val="28"/>
        </w:rPr>
        <w:t>В данном подразделе также подлежат отражению срочные обязательства финансового характера гражданина, зарегистрированного в качестве индивидуального предпринимателя, в отношении которого представляется справка.</w:t>
      </w:r>
    </w:p>
    <w:p w14:paraId="30D6ED3A">
      <w:pPr>
        <w:ind w:firstLine="567"/>
        <w:rPr>
          <w:rFonts w:ascii="Times New Roman" w:hAnsi="Times New Roman"/>
          <w:sz w:val="28"/>
          <w:szCs w:val="28"/>
        </w:rPr>
      </w:pPr>
      <w:r>
        <w:rPr>
          <w:rFonts w:ascii="Times New Roman" w:hAnsi="Times New Roman"/>
          <w:sz w:val="28"/>
          <w:szCs w:val="28"/>
        </w:rPr>
        <w:t>Данный подраздел также подлежит заполнению в случае, если лицо, в отношении которого представляются Сведения, является созаемщиком.</w:t>
      </w:r>
    </w:p>
    <w:p w14:paraId="40579D17">
      <w:pPr>
        <w:pStyle w:val="193"/>
        <w:widowControl w:val="0"/>
        <w:numPr>
          <w:ilvl w:val="0"/>
          <w:numId w:val="1"/>
        </w:numPr>
        <w:ind w:left="0" w:firstLine="567"/>
        <w:rPr>
          <w:rFonts w:ascii="Times New Roman" w:hAnsi="Times New Roman"/>
          <w:sz w:val="28"/>
          <w:szCs w:val="28"/>
        </w:rPr>
      </w:pPr>
      <w:bookmarkStart w:id="82" w:name="Par629"/>
      <w:bookmarkEnd w:id="82"/>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Содержание обязательства</w:t>
      </w:r>
      <w:r>
        <w:rPr>
          <w:rFonts w:ascii="Times New Roman" w:hAnsi="Times New Roman"/>
          <w:b/>
          <w:sz w:val="28"/>
        </w:rPr>
        <w:t>"</w:t>
      </w:r>
      <w:r>
        <w:rPr>
          <w:rFonts w:ascii="Times New Roman" w:hAnsi="Times New Roman"/>
          <w:sz w:val="28"/>
          <w:szCs w:val="28"/>
        </w:rPr>
        <w:t xml:space="preserve"> указывается существо обязательства (заем, кредит, в том числе предоставленный кредитной организацией для расчетов по операциям, совершаемым с использованием расчетных (дебетовых) и кредитных карт, и другое).</w:t>
      </w:r>
    </w:p>
    <w:p w14:paraId="7C325F15">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Кредитор (должник)</w:t>
      </w:r>
      <w:r>
        <w:rPr>
          <w:rFonts w:ascii="Times New Roman" w:hAnsi="Times New Roman"/>
          <w:b/>
          <w:sz w:val="28"/>
        </w:rPr>
        <w:t>"</w:t>
      </w:r>
      <w:r>
        <w:rPr>
          <w:rFonts w:ascii="Times New Roman" w:hAnsi="Times New Roman"/>
          <w:sz w:val="28"/>
          <w:szCs w:val="28"/>
        </w:rPr>
        <w:t xml:space="preserve"> указывается вторая сторона обязательства и ее правовое положение в данном обязательстве (кредитор или должник), его фамилия, имя и отчество (наименование юридического лица), адрес. </w:t>
      </w:r>
    </w:p>
    <w:p w14:paraId="33769FC4">
      <w:pPr>
        <w:pStyle w:val="193"/>
        <w:widowControl w:val="0"/>
        <w:ind w:left="0" w:firstLine="567"/>
        <w:rPr>
          <w:rFonts w:ascii="Times New Roman" w:hAnsi="Times New Roman"/>
          <w:sz w:val="28"/>
          <w:szCs w:val="28"/>
        </w:rPr>
      </w:pPr>
      <w:r>
        <w:rPr>
          <w:rFonts w:ascii="Times New Roman" w:hAnsi="Times New Roman"/>
          <w:sz w:val="28"/>
          <w:szCs w:val="28"/>
        </w:rPr>
        <w:t xml:space="preserve">Например, </w:t>
      </w:r>
    </w:p>
    <w:p w14:paraId="68DBF4D9">
      <w:pPr>
        <w:widowControl w:val="0"/>
        <w:ind w:firstLine="567"/>
        <w:rPr>
          <w:rFonts w:ascii="Times New Roman" w:hAnsi="Times New Roman"/>
          <w:sz w:val="28"/>
          <w:szCs w:val="28"/>
        </w:rPr>
      </w:pPr>
      <w:r>
        <w:rPr>
          <w:rFonts w:ascii="Times New Roman" w:hAnsi="Times New Roman"/>
          <w:sz w:val="28"/>
          <w:szCs w:val="28"/>
        </w:rPr>
        <w:t xml:space="preserve">1) если служащий (работник) или его супруга (супруг) взял(-а) кредит в ПАО Сбербанк и является должником, то в графе </w:t>
      </w:r>
      <w:r>
        <w:rPr>
          <w:rFonts w:ascii="Times New Roman" w:hAnsi="Times New Roman"/>
          <w:b/>
          <w:sz w:val="28"/>
        </w:rPr>
        <w:t>"Кредитор (должник)"</w:t>
      </w:r>
      <w:r>
        <w:rPr>
          <w:rFonts w:ascii="Times New Roman" w:hAnsi="Times New Roman"/>
          <w:sz w:val="28"/>
          <w:szCs w:val="28"/>
        </w:rPr>
        <w:t xml:space="preserve"> указывается вторая сторона обязательства: кредитор ПАО Сбербанк;</w:t>
      </w:r>
    </w:p>
    <w:p w14:paraId="594D1015">
      <w:pPr>
        <w:ind w:firstLine="567"/>
        <w:rPr>
          <w:rFonts w:ascii="Times New Roman" w:hAnsi="Times New Roman"/>
          <w:sz w:val="28"/>
          <w:szCs w:val="28"/>
        </w:rPr>
      </w:pPr>
      <w:r>
        <w:rPr>
          <w:rFonts w:ascii="Times New Roman" w:hAnsi="Times New Roman"/>
          <w:sz w:val="28"/>
          <w:szCs w:val="28"/>
        </w:rPr>
        <w:t xml:space="preserve">2) если служащий (работник) или его супруга (супруг) заключил(-а) договор займа денежных средств и является займодавцем, то в графе </w:t>
      </w:r>
      <w:r>
        <w:rPr>
          <w:rFonts w:ascii="Times New Roman" w:hAnsi="Times New Roman"/>
          <w:b/>
          <w:sz w:val="28"/>
        </w:rPr>
        <w:t>"Кредитор (должник)"</w:t>
      </w:r>
      <w:r>
        <w:rPr>
          <w:rFonts w:ascii="Times New Roman" w:hAnsi="Times New Roman"/>
          <w:sz w:val="28"/>
          <w:szCs w:val="28"/>
        </w:rPr>
        <w:t xml:space="preserve"> указываются фамилия, имя, отчество и адрес должника: должник Иванов Иван Иванович, г. Москва, Ленинский пр-т, д. 8, кв. 1. Основанием возникновения обязательства в этом случае является договор займа с указанием даты подписания. </w:t>
      </w:r>
    </w:p>
    <w:p w14:paraId="7C6EDB01">
      <w:pPr>
        <w:pStyle w:val="193"/>
        <w:widowControl w:val="0"/>
        <w:numPr>
          <w:ilvl w:val="0"/>
          <w:numId w:val="1"/>
        </w:numPr>
        <w:ind w:left="0" w:firstLine="567"/>
        <w:rPr>
          <w:rFonts w:ascii="Times New Roman" w:hAnsi="Times New Roman"/>
          <w:sz w:val="28"/>
          <w:szCs w:val="28"/>
        </w:rPr>
      </w:pPr>
      <w:bookmarkStart w:id="83" w:name="Par631"/>
      <w:bookmarkEnd w:id="83"/>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Основание возникновения</w:t>
      </w:r>
      <w:r>
        <w:rPr>
          <w:rFonts w:ascii="Times New Roman" w:hAnsi="Times New Roman"/>
          <w:b/>
          <w:sz w:val="28"/>
        </w:rPr>
        <w:t>"</w:t>
      </w:r>
      <w:r>
        <w:rPr>
          <w:rFonts w:ascii="Times New Roman" w:hAnsi="Times New Roman"/>
          <w:sz w:val="28"/>
          <w:szCs w:val="28"/>
        </w:rPr>
        <w:t xml:space="preserve"> указываются основание возникновения обязательства, а также реквизиты (дата, номер) соответствующего договора или акта.</w:t>
      </w:r>
    </w:p>
    <w:p w14:paraId="43D4AC59">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Сумма обязательства / размер обязательства по состоянию на отчетную дату</w:t>
      </w:r>
      <w:r>
        <w:rPr>
          <w:rFonts w:ascii="Times New Roman" w:hAnsi="Times New Roman"/>
          <w:b/>
          <w:sz w:val="28"/>
        </w:rPr>
        <w:t xml:space="preserve">" </w:t>
      </w:r>
      <w:r>
        <w:rPr>
          <w:rFonts w:ascii="Times New Roman" w:hAnsi="Times New Roman"/>
          <w:sz w:val="28"/>
          <w:szCs w:val="28"/>
        </w:rPr>
        <w:t xml:space="preserve">указываются: </w:t>
      </w:r>
    </w:p>
    <w:p w14:paraId="50E4BD41">
      <w:pPr>
        <w:pStyle w:val="193"/>
        <w:widowControl w:val="0"/>
        <w:ind w:left="0" w:firstLine="567"/>
        <w:rPr>
          <w:rFonts w:ascii="Times New Roman" w:hAnsi="Times New Roman"/>
          <w:sz w:val="28"/>
          <w:szCs w:val="28"/>
        </w:rPr>
      </w:pPr>
      <w:r>
        <w:rPr>
          <w:rFonts w:ascii="Times New Roman" w:hAnsi="Times New Roman"/>
          <w:sz w:val="28"/>
          <w:szCs w:val="28"/>
        </w:rPr>
        <w:t xml:space="preserve">сумма обязательства, определяемая как сумма основного долга при заключении договора (сумма основного долга на дату перехода права требования по договору) без суммы процентов; и </w:t>
      </w:r>
    </w:p>
    <w:p w14:paraId="723D482B">
      <w:pPr>
        <w:pStyle w:val="193"/>
        <w:widowControl w:val="0"/>
        <w:ind w:left="0" w:firstLine="567"/>
        <w:rPr>
          <w:rFonts w:ascii="Times New Roman" w:hAnsi="Times New Roman"/>
          <w:sz w:val="28"/>
          <w:szCs w:val="28"/>
        </w:rPr>
      </w:pPr>
      <w:r>
        <w:rPr>
          <w:rFonts w:ascii="Times New Roman" w:hAnsi="Times New Roman"/>
          <w:sz w:val="28"/>
          <w:szCs w:val="28"/>
        </w:rPr>
        <w:t xml:space="preserve">размер обязательства по состоянию на отчетную дату, определяемый как сумма основного долга и начисленных процентов на отчетную дату (в начисленные проценты не включаются суммы, являющиеся способами обеспечения обязательств по договору (в том числе неустойка). </w:t>
      </w:r>
    </w:p>
    <w:p w14:paraId="3406867E">
      <w:pPr>
        <w:pStyle w:val="193"/>
        <w:widowControl w:val="0"/>
        <w:ind w:left="0" w:firstLine="567"/>
        <w:rPr>
          <w:rFonts w:ascii="Times New Roman" w:hAnsi="Times New Roman"/>
          <w:sz w:val="28"/>
          <w:szCs w:val="28"/>
        </w:rPr>
      </w:pPr>
      <w:r>
        <w:rPr>
          <w:rFonts w:ascii="Times New Roman" w:hAnsi="Times New Roman"/>
          <w:sz w:val="28"/>
          <w:szCs w:val="28"/>
        </w:rPr>
        <w:t xml:space="preserve">Для обязательств, выраженных в иностранной валюте, сумма указывается в рублях по курсу Банка России на отчетную дату </w:t>
      </w:r>
      <w:r>
        <w:rPr>
          <w:rFonts w:ascii="Times New Roman" w:hAnsi="Times New Roman" w:eastAsia="Times New Roman"/>
          <w:sz w:val="28"/>
          <w:szCs w:val="28"/>
          <w:lang w:eastAsia="ru-RU"/>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eastAsia="Times New Roman"/>
          <w:sz w:val="28"/>
          <w:szCs w:val="28"/>
          <w:lang w:eastAsia="ru-RU"/>
        </w:rPr>
        <w:t>)</w:t>
      </w:r>
      <w:r>
        <w:rPr>
          <w:rFonts w:ascii="Times New Roman" w:hAnsi="Times New Roman"/>
          <w:sz w:val="28"/>
          <w:szCs w:val="28"/>
        </w:rPr>
        <w:t xml:space="preserve">. </w:t>
      </w:r>
    </w:p>
    <w:p w14:paraId="4F0D429F">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В случае если на отчетную дату размер обязательства (оставшийся непогашенным долг с суммой процентов) составил менее 500 000 рублей, то такое финансовое обязательство в справке не указывается. При этом отражение такого обязательства в справке не является нарушением.</w:t>
      </w:r>
    </w:p>
    <w:p w14:paraId="4AC1AA4C">
      <w:pPr>
        <w:pStyle w:val="193"/>
        <w:widowControl w:val="0"/>
        <w:numPr>
          <w:ilvl w:val="0"/>
          <w:numId w:val="1"/>
        </w:numPr>
        <w:ind w:left="0" w:firstLine="567"/>
        <w:rPr>
          <w:rFonts w:ascii="Times New Roman" w:hAnsi="Times New Roman"/>
          <w:sz w:val="28"/>
          <w:szCs w:val="28"/>
        </w:rPr>
      </w:pPr>
      <w:bookmarkStart w:id="84" w:name="Par633"/>
      <w:bookmarkEnd w:id="84"/>
      <w:r>
        <w:rPr>
          <w:rFonts w:ascii="Times New Roman" w:hAnsi="Times New Roman"/>
          <w:sz w:val="28"/>
          <w:szCs w:val="28"/>
        </w:rPr>
        <w:t xml:space="preserve">В графе </w:t>
      </w:r>
      <w:r>
        <w:rPr>
          <w:rFonts w:ascii="Times New Roman" w:hAnsi="Times New Roman"/>
          <w:b/>
          <w:sz w:val="28"/>
        </w:rPr>
        <w:t>"</w:t>
      </w:r>
      <w:r>
        <w:rPr>
          <w:rFonts w:ascii="Times New Roman" w:hAnsi="Times New Roman"/>
          <w:b/>
          <w:sz w:val="28"/>
          <w:szCs w:val="28"/>
        </w:rPr>
        <w:t>Условия обязательства</w:t>
      </w:r>
      <w:r>
        <w:rPr>
          <w:rFonts w:ascii="Times New Roman" w:hAnsi="Times New Roman"/>
          <w:b/>
          <w:sz w:val="28"/>
        </w:rPr>
        <w:t>"</w:t>
      </w:r>
      <w:r>
        <w:rPr>
          <w:rFonts w:ascii="Times New Roman" w:hAnsi="Times New Roman"/>
          <w:sz w:val="28"/>
          <w:szCs w:val="28"/>
        </w:rPr>
        <w:t xml:space="preserve"> указываются годовая процентная ставка обязательства, заложенное в обеспечение обязательства имущество, выданные в обеспечение исполнения</w:t>
      </w:r>
      <w:r>
        <w:rPr>
          <w:rFonts w:ascii="Times New Roman" w:hAnsi="Times New Roman"/>
          <w:color w:val="FF0000"/>
          <w:sz w:val="28"/>
          <w:szCs w:val="28"/>
        </w:rPr>
        <w:t xml:space="preserve"> </w:t>
      </w:r>
      <w:r>
        <w:rPr>
          <w:rFonts w:ascii="Times New Roman" w:hAnsi="Times New Roman"/>
          <w:sz w:val="28"/>
          <w:szCs w:val="28"/>
        </w:rPr>
        <w:t>обязательства гарантии и поручительства.</w:t>
      </w:r>
    </w:p>
    <w:p w14:paraId="02AF0BF7">
      <w:pPr>
        <w:pStyle w:val="193"/>
        <w:numPr>
          <w:ilvl w:val="0"/>
          <w:numId w:val="1"/>
        </w:numPr>
        <w:ind w:left="0" w:firstLine="567"/>
        <w:rPr>
          <w:rFonts w:ascii="Times New Roman" w:hAnsi="Times New Roman"/>
          <w:sz w:val="28"/>
          <w:szCs w:val="28"/>
        </w:rPr>
      </w:pPr>
      <w:r>
        <w:rPr>
          <w:rFonts w:ascii="Times New Roman" w:hAnsi="Times New Roman"/>
          <w:sz w:val="28"/>
          <w:szCs w:val="28"/>
        </w:rPr>
        <w:t>Помимо прочего подлежат указанию:</w:t>
      </w:r>
    </w:p>
    <w:p w14:paraId="106ABADB">
      <w:pPr>
        <w:ind w:firstLine="567"/>
        <w:rPr>
          <w:rFonts w:ascii="Times New Roman" w:hAnsi="Times New Roman"/>
          <w:sz w:val="28"/>
          <w:szCs w:val="28"/>
        </w:rPr>
      </w:pPr>
      <w:r>
        <w:rPr>
          <w:rFonts w:ascii="Times New Roman" w:hAnsi="Times New Roman"/>
          <w:sz w:val="28"/>
          <w:szCs w:val="28"/>
        </w:rPr>
        <w:t>1) договор о предоставлении кредита, в том числе при наличии у лица кредитной карты с доступным лимитом овердрафта (указываются обязательства, возникшие в связи с имеющейся задолженностью по кредитной карте на конец отчетного периода равной или превышающей 500 000 руб.);</w:t>
      </w:r>
    </w:p>
    <w:p w14:paraId="698F18E8">
      <w:pPr>
        <w:ind w:firstLine="567"/>
        <w:rPr>
          <w:rFonts w:ascii="Times New Roman" w:hAnsi="Times New Roman"/>
          <w:sz w:val="28"/>
          <w:szCs w:val="28"/>
        </w:rPr>
      </w:pPr>
      <w:r>
        <w:rPr>
          <w:rFonts w:ascii="Times New Roman" w:hAnsi="Times New Roman"/>
          <w:sz w:val="28"/>
          <w:szCs w:val="28"/>
        </w:rPr>
        <w:t>2) договор финансовой аренды (лизинг);</w:t>
      </w:r>
    </w:p>
    <w:p w14:paraId="31BB79B6">
      <w:pPr>
        <w:ind w:firstLine="567"/>
        <w:rPr>
          <w:rFonts w:ascii="Times New Roman" w:hAnsi="Times New Roman"/>
          <w:sz w:val="28"/>
          <w:szCs w:val="28"/>
        </w:rPr>
      </w:pPr>
      <w:r>
        <w:rPr>
          <w:rFonts w:ascii="Times New Roman" w:hAnsi="Times New Roman"/>
          <w:sz w:val="28"/>
          <w:szCs w:val="28"/>
        </w:rPr>
        <w:t>3) договор займа;</w:t>
      </w:r>
    </w:p>
    <w:p w14:paraId="00391782">
      <w:pPr>
        <w:pStyle w:val="193"/>
        <w:ind w:left="0" w:firstLine="567"/>
        <w:rPr>
          <w:rFonts w:ascii="Times New Roman" w:hAnsi="Times New Roman"/>
          <w:sz w:val="28"/>
          <w:szCs w:val="28"/>
        </w:rPr>
      </w:pPr>
      <w:r>
        <w:rPr>
          <w:rFonts w:ascii="Times New Roman" w:hAnsi="Times New Roman"/>
          <w:sz w:val="28"/>
          <w:szCs w:val="28"/>
        </w:rPr>
        <w:t>4) договор финансирования под уступку денежного требования;</w:t>
      </w:r>
    </w:p>
    <w:p w14:paraId="29478848">
      <w:pPr>
        <w:pStyle w:val="193"/>
        <w:ind w:left="0" w:firstLine="567"/>
        <w:rPr>
          <w:rFonts w:ascii="Times New Roman" w:hAnsi="Times New Roman"/>
          <w:sz w:val="28"/>
          <w:szCs w:val="28"/>
        </w:rPr>
      </w:pPr>
      <w:r>
        <w:rPr>
          <w:rFonts w:ascii="Times New Roman" w:hAnsi="Times New Roman"/>
          <w:sz w:val="28"/>
          <w:szCs w:val="28"/>
        </w:rPr>
        <w:t>5) обязательства, связанные с заключением договора об уступке права требования;</w:t>
      </w:r>
    </w:p>
    <w:p w14:paraId="3843F286">
      <w:pPr>
        <w:ind w:firstLine="567"/>
        <w:rPr>
          <w:rFonts w:ascii="Times New Roman" w:hAnsi="Times New Roman"/>
          <w:sz w:val="28"/>
          <w:szCs w:val="28"/>
        </w:rPr>
      </w:pPr>
      <w:r>
        <w:rPr>
          <w:rFonts w:ascii="Times New Roman" w:hAnsi="Times New Roman"/>
          <w:sz w:val="28"/>
          <w:szCs w:val="28"/>
        </w:rPr>
        <w:t>6) обязательства вследствие причинения вреда (финансовые);</w:t>
      </w:r>
    </w:p>
    <w:p w14:paraId="21BBC1AB">
      <w:pPr>
        <w:ind w:firstLine="567"/>
        <w:rPr>
          <w:rFonts w:ascii="Times New Roman" w:hAnsi="Times New Roman"/>
          <w:sz w:val="28"/>
          <w:szCs w:val="28"/>
        </w:rPr>
      </w:pPr>
      <w:r>
        <w:rPr>
          <w:rFonts w:ascii="Times New Roman" w:hAnsi="Times New Roman"/>
          <w:sz w:val="28"/>
          <w:szCs w:val="28"/>
        </w:rPr>
        <w:t>7) обязательства по договору поручительства (в случае, если по состоянию на отчетную дату должник не исполняет или исполняет обязательства перед кредитором ненадлежащим образом и соответствующие обязательства возникли у поручителя);</w:t>
      </w:r>
    </w:p>
    <w:p w14:paraId="3B017F6F">
      <w:pPr>
        <w:ind w:firstLine="567"/>
        <w:rPr>
          <w:rFonts w:ascii="Times New Roman" w:hAnsi="Times New Roman"/>
          <w:sz w:val="28"/>
          <w:szCs w:val="28"/>
        </w:rPr>
      </w:pPr>
      <w:r>
        <w:rPr>
          <w:rFonts w:ascii="Times New Roman" w:hAnsi="Times New Roman"/>
          <w:sz w:val="28"/>
          <w:szCs w:val="28"/>
        </w:rPr>
        <w:t>8) обязательства по уплате алиментов (если по состоянию на отчетную дату сумма невыплаченных алиментов равна или превышает 500 000 руб.);</w:t>
      </w:r>
    </w:p>
    <w:p w14:paraId="438295A6">
      <w:pPr>
        <w:ind w:firstLine="567"/>
        <w:rPr>
          <w:rFonts w:ascii="Times New Roman" w:hAnsi="Times New Roman"/>
          <w:sz w:val="28"/>
          <w:szCs w:val="28"/>
        </w:rPr>
      </w:pPr>
      <w:r>
        <w:rPr>
          <w:rFonts w:ascii="Times New Roman" w:hAnsi="Times New Roman"/>
          <w:sz w:val="28"/>
          <w:szCs w:val="28"/>
        </w:rPr>
        <w:t>9) обязательства по выплате арендной платы за наем жилого или нежилого помещения (если по состоянию на отчетную дату сумма невыплаченной арендной платы равна или превышает 500 000 руб.);</w:t>
      </w:r>
    </w:p>
    <w:p w14:paraId="03B3D05C">
      <w:pPr>
        <w:ind w:firstLine="567"/>
        <w:rPr>
          <w:rFonts w:ascii="Times New Roman" w:hAnsi="Times New Roman"/>
          <w:sz w:val="28"/>
          <w:szCs w:val="28"/>
        </w:rPr>
      </w:pPr>
      <w:r>
        <w:rPr>
          <w:rFonts w:ascii="Times New Roman" w:hAnsi="Times New Roman"/>
          <w:sz w:val="28"/>
          <w:szCs w:val="28"/>
        </w:rPr>
        <w:t>10) выкупленная дебиторская задолженность;</w:t>
      </w:r>
    </w:p>
    <w:p w14:paraId="244CFEBD">
      <w:pPr>
        <w:ind w:firstLine="567"/>
        <w:rPr>
          <w:rFonts w:ascii="Times New Roman" w:hAnsi="Times New Roman"/>
          <w:sz w:val="28"/>
          <w:szCs w:val="28"/>
        </w:rPr>
      </w:pPr>
      <w:r>
        <w:rPr>
          <w:rFonts w:ascii="Times New Roman" w:hAnsi="Times New Roman"/>
          <w:sz w:val="28"/>
          <w:szCs w:val="28"/>
        </w:rPr>
        <w:t>11) финансовые обязательства, участником которых в силу Федерального закона от 23 декабря 2003 г. № 177-ФЗ "О страховании вкладов в банках Российской Федерации" является государственная корпорация "Агентство по страхованию вкладов";</w:t>
      </w:r>
    </w:p>
    <w:p w14:paraId="38D55DAB">
      <w:pPr>
        <w:ind w:firstLine="567"/>
        <w:rPr>
          <w:rFonts w:ascii="Times New Roman" w:hAnsi="Times New Roman"/>
          <w:sz w:val="28"/>
          <w:szCs w:val="28"/>
        </w:rPr>
      </w:pPr>
      <w:r>
        <w:rPr>
          <w:rFonts w:ascii="Times New Roman" w:hAnsi="Times New Roman"/>
          <w:sz w:val="28"/>
          <w:szCs w:val="28"/>
        </w:rPr>
        <w:t>12) предоставленные брокером займы (т.н. "маржинальные сделки");</w:t>
      </w:r>
    </w:p>
    <w:p w14:paraId="6C774E1F">
      <w:pPr>
        <w:ind w:firstLine="567"/>
        <w:rPr>
          <w:rFonts w:ascii="Times New Roman" w:hAnsi="Times New Roman"/>
          <w:sz w:val="28"/>
          <w:szCs w:val="28"/>
        </w:rPr>
      </w:pPr>
      <w:r>
        <w:rPr>
          <w:rFonts w:ascii="Times New Roman" w:hAnsi="Times New Roman"/>
          <w:sz w:val="28"/>
          <w:szCs w:val="28"/>
        </w:rPr>
        <w:t>13) обязательства по незакрытым сделкам РЕПО и СВОП (у клиента имеются требования и обязательства по этим сделкам);</w:t>
      </w:r>
    </w:p>
    <w:p w14:paraId="37FCF5C5">
      <w:pPr>
        <w:ind w:firstLine="567"/>
        <w:rPr>
          <w:rFonts w:ascii="Times New Roman" w:hAnsi="Times New Roman"/>
          <w:sz w:val="28"/>
          <w:szCs w:val="28"/>
        </w:rPr>
      </w:pPr>
      <w:r>
        <w:rPr>
          <w:rFonts w:ascii="Times New Roman" w:hAnsi="Times New Roman"/>
          <w:sz w:val="28"/>
          <w:szCs w:val="28"/>
        </w:rPr>
        <w:t>Срочные обязательства финансового характера по неисполненной на отчетную дату второй части договора РЕПО подлежат отражению в размере обязательства гражданина по уплате денежных средств.</w:t>
      </w:r>
    </w:p>
    <w:p w14:paraId="7E6D5FCD">
      <w:pPr>
        <w:ind w:firstLine="567"/>
        <w:rPr>
          <w:rFonts w:ascii="Times New Roman" w:hAnsi="Times New Roman"/>
          <w:sz w:val="28"/>
          <w:szCs w:val="28"/>
        </w:rPr>
      </w:pPr>
      <w:r>
        <w:rPr>
          <w:rFonts w:ascii="Times New Roman" w:hAnsi="Times New Roman"/>
          <w:sz w:val="28"/>
          <w:szCs w:val="28"/>
        </w:rPr>
        <w:t>14) фьючерсный договор;</w:t>
      </w:r>
    </w:p>
    <w:p w14:paraId="4501487D">
      <w:pPr>
        <w:ind w:firstLine="567"/>
        <w:rPr>
          <w:rFonts w:ascii="Times New Roman" w:hAnsi="Times New Roman"/>
          <w:sz w:val="28"/>
          <w:szCs w:val="28"/>
        </w:rPr>
      </w:pPr>
      <w:r>
        <w:rPr>
          <w:rFonts w:ascii="Times New Roman" w:hAnsi="Times New Roman"/>
          <w:sz w:val="28"/>
          <w:szCs w:val="28"/>
        </w:rPr>
        <w:t>15) иные обязательства, в том числе установленные решением суда.</w:t>
      </w:r>
    </w:p>
    <w:p w14:paraId="5D46B78E">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При этом в данном подразделе не указываются, например, договор срочного банковского вклада. </w:t>
      </w:r>
    </w:p>
    <w:p w14:paraId="7CFC9BBF">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Для заполнения данного подраздела в отношении срочных обязательств финансового характера, возникших в рамках договорных отношений с кредитными организациями и некредитными финансовыми организациями, рекомендуется получать информацию в рамках Указания Банка России № 5798-У.</w:t>
      </w:r>
    </w:p>
    <w:p w14:paraId="01EFF470">
      <w:pPr>
        <w:pStyle w:val="193"/>
        <w:widowControl w:val="0"/>
        <w:numPr>
          <w:ilvl w:val="0"/>
          <w:numId w:val="1"/>
        </w:numPr>
        <w:ind w:left="0" w:firstLine="567"/>
        <w:rPr>
          <w:rFonts w:ascii="Times New Roman" w:hAnsi="Times New Roman"/>
          <w:sz w:val="28"/>
          <w:szCs w:val="28"/>
        </w:rPr>
      </w:pPr>
      <w:r>
        <w:rPr>
          <w:rFonts w:ascii="Times New Roman" w:hAnsi="Times New Roman"/>
          <w:b/>
          <w:sz w:val="28"/>
          <w:szCs w:val="28"/>
        </w:rPr>
        <w:t>Отдельные виды срочных обязательств финансового характера</w:t>
      </w:r>
      <w:r>
        <w:rPr>
          <w:rFonts w:ascii="Times New Roman" w:hAnsi="Times New Roman"/>
          <w:sz w:val="28"/>
          <w:szCs w:val="28"/>
        </w:rPr>
        <w:t>:</w:t>
      </w:r>
    </w:p>
    <w:p w14:paraId="6D811E83">
      <w:pPr>
        <w:pStyle w:val="193"/>
        <w:widowControl w:val="0"/>
        <w:ind w:left="0" w:firstLine="567"/>
        <w:rPr>
          <w:rFonts w:ascii="Times New Roman" w:hAnsi="Times New Roman"/>
          <w:sz w:val="28"/>
          <w:szCs w:val="28"/>
        </w:rPr>
      </w:pPr>
      <w:r>
        <w:rPr>
          <w:rFonts w:ascii="Times New Roman" w:hAnsi="Times New Roman"/>
          <w:b/>
          <w:sz w:val="28"/>
          <w:szCs w:val="28"/>
        </w:rPr>
        <w:t xml:space="preserve">1) участие в долевом строительстве объекта недвижимости. </w:t>
      </w:r>
      <w:r>
        <w:rPr>
          <w:rFonts w:ascii="Times New Roman" w:hAnsi="Times New Roman"/>
          <w:sz w:val="28"/>
          <w:szCs w:val="28"/>
        </w:rPr>
        <w:t>До государственной регистрации права собственности на объект долевого строительства информация об имеющихся на отчетную дату обязательствах по договору долевого строительства подлежит отражению в данном подразделе. При этом не имеет значения, оформлялся ли кредитный договор с банком или иной кредитной организацией для оплаты по указанному договору.</w:t>
      </w:r>
    </w:p>
    <w:p w14:paraId="0D7C7FC8">
      <w:pPr>
        <w:ind w:firstLine="567"/>
        <w:rPr>
          <w:rFonts w:ascii="Times New Roman" w:hAnsi="Times New Roman"/>
          <w:sz w:val="28"/>
          <w:szCs w:val="28"/>
        </w:rPr>
      </w:pPr>
      <w:r>
        <w:rPr>
          <w:rFonts w:ascii="Times New Roman" w:hAnsi="Times New Roman"/>
          <w:sz w:val="28"/>
          <w:szCs w:val="28"/>
        </w:rPr>
        <w:t>На практике распространены случаи, когда период с даты выплаты в полном объеме денежных средств в соответствии с договором долевого участия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по договору долевого участия по отношению к участнику долевого строительства, которым в соответствии с договором долевого участия обязательства по уплате полной стоимости квартиры в многоквартирном доме выполнены, подлежат отражению в подразделе 6.2 раздела 6 справки. В этом случае в графе </w:t>
      </w:r>
      <w:r>
        <w:rPr>
          <w:rFonts w:ascii="Times New Roman" w:hAnsi="Times New Roman"/>
          <w:b/>
          <w:sz w:val="28"/>
          <w:szCs w:val="28"/>
        </w:rPr>
        <w:t>"Кредитор (должник)"</w:t>
      </w:r>
      <w:r>
        <w:rPr>
          <w:rFonts w:ascii="Times New Roman" w:hAnsi="Times New Roman"/>
          <w:sz w:val="28"/>
          <w:szCs w:val="28"/>
        </w:rPr>
        <w:t xml:space="preserve"> подраздела 6.2 раздела 6 справки указывается вторая сторона обязательства: должник, наименование юридического лица, адрес организации, с которой заключен договор долевого участия, остальные графы заполняются также в соответствии с договором долевого участия согласно ссылкам к данному подразделу справки, при этом в графе </w:t>
      </w:r>
      <w:r>
        <w:rPr>
          <w:rFonts w:ascii="Times New Roman" w:hAnsi="Times New Roman"/>
          <w:b/>
          <w:sz w:val="28"/>
        </w:rPr>
        <w:t xml:space="preserve">"Условие обязательства" </w:t>
      </w:r>
      <w:r>
        <w:rPr>
          <w:rFonts w:ascii="Times New Roman" w:hAnsi="Times New Roman"/>
          <w:sz w:val="28"/>
          <w:szCs w:val="28"/>
        </w:rPr>
        <w:t xml:space="preserve">можно отразить, что денежные средства переданы застройщику в полном объеме. В графе </w:t>
      </w:r>
      <w:r>
        <w:rPr>
          <w:rFonts w:ascii="Times New Roman" w:hAnsi="Times New Roman"/>
          <w:b/>
          <w:sz w:val="28"/>
          <w:szCs w:val="28"/>
        </w:rPr>
        <w:t>"Сумма обязательства/размер обязательства по состоянию на отчетную дату (руб.)"</w:t>
      </w:r>
      <w:r>
        <w:rPr>
          <w:rFonts w:ascii="Times New Roman" w:hAnsi="Times New Roman"/>
          <w:sz w:val="28"/>
          <w:szCs w:val="28"/>
        </w:rPr>
        <w:t xml:space="preserve"> рекомендуется указывать полные суммы, предусмотренные заключенным договором долевого участия. Аналогичный порядок распространяется на сделки по участию в строительстве объекта недвижимости, например, ЖСК, предварительные договоры купли-продажи и другие формы участия.</w:t>
      </w:r>
    </w:p>
    <w:p w14:paraId="7C3ECD55">
      <w:pPr>
        <w:ind w:firstLine="567"/>
        <w:rPr>
          <w:rFonts w:ascii="Times New Roman" w:hAnsi="Times New Roman"/>
          <w:sz w:val="28"/>
          <w:szCs w:val="28"/>
        </w:rPr>
      </w:pPr>
      <w:r>
        <w:rPr>
          <w:rFonts w:ascii="Times New Roman" w:hAnsi="Times New Roman"/>
          <w:sz w:val="28"/>
          <w:szCs w:val="28"/>
        </w:rPr>
        <w:t>Данный порядок применяется также в случае использования счетов эскроу.</w:t>
      </w:r>
    </w:p>
    <w:p w14:paraId="10582021">
      <w:pPr>
        <w:pStyle w:val="193"/>
        <w:tabs>
          <w:tab w:val="left" w:pos="0"/>
          <w:tab w:val="left" w:pos="1418"/>
        </w:tabs>
        <w:ind w:left="0" w:firstLine="567"/>
        <w:rPr>
          <w:rFonts w:ascii="Times New Roman" w:hAnsi="Times New Roman"/>
          <w:sz w:val="28"/>
          <w:szCs w:val="28"/>
        </w:rPr>
      </w:pPr>
      <w:r>
        <w:rPr>
          <w:rFonts w:ascii="Times New Roman" w:hAnsi="Times New Roman"/>
          <w:sz w:val="28"/>
          <w:szCs w:val="28"/>
        </w:rPr>
        <w:t>В случае участия служащего (работника), его супруги (супруга) и (или) несовершеннолетних детей совместно с иными лицами в долевом строительстве объекта недвижимости, по результатам которого возникает право долевой собственности на соответствующий объект недвижимости, и исходя из содержания соответствующего договора не представляется возможным определить размер срочного обязательства финансового характера лица, в отношении которого представляется справка, то в применимых графах указывается полная стоимость.</w:t>
      </w:r>
    </w:p>
    <w:p w14:paraId="6F235397">
      <w:pPr>
        <w:pStyle w:val="193"/>
        <w:tabs>
          <w:tab w:val="left" w:pos="0"/>
          <w:tab w:val="left" w:pos="1418"/>
        </w:tabs>
        <w:ind w:left="0" w:firstLine="567"/>
        <w:rPr>
          <w:rFonts w:ascii="Times New Roman" w:hAnsi="Times New Roman"/>
          <w:sz w:val="28"/>
          <w:szCs w:val="28"/>
        </w:rPr>
      </w:pPr>
      <w:r>
        <w:rPr>
          <w:rFonts w:ascii="Times New Roman" w:hAnsi="Times New Roman"/>
          <w:sz w:val="28"/>
          <w:szCs w:val="28"/>
        </w:rPr>
        <w:t>Кроме того, в случае, если в рамках договора долевого строительства возникают обязательства по ипотеке либо иные аналогичные обязательства, связанные с оплатой объекта долевого строительства, служащему (работнику) следует отразить как обязательства по договору долевого строительства, так и обязательства по договору об ипотеке (иному аналогичному обязательству).</w:t>
      </w:r>
    </w:p>
    <w:p w14:paraId="1FD55B58">
      <w:pPr>
        <w:ind w:firstLine="567"/>
        <w:rPr>
          <w:rFonts w:ascii="Times New Roman" w:hAnsi="Times New Roman"/>
          <w:sz w:val="28"/>
          <w:szCs w:val="28"/>
        </w:rPr>
      </w:pPr>
      <w:r>
        <w:rPr>
          <w:rFonts w:ascii="Times New Roman" w:hAnsi="Times New Roman"/>
          <w:b/>
          <w:sz w:val="28"/>
          <w:szCs w:val="28"/>
        </w:rPr>
        <w:t>2) обязательства по ипотеке в случае разделения суммы кредита между супругами.</w:t>
      </w:r>
      <w:r>
        <w:rPr>
          <w:rFonts w:ascii="Times New Roman" w:hAnsi="Times New Roman"/>
          <w:sz w:val="28"/>
          <w:szCs w:val="28"/>
        </w:rPr>
        <w:t xml:space="preserve"> Согласно пунктам 4 и 5 статьи 9 Федерального закона от 16 июля 1998 г. № 102-ФЗ "Об ипотеке (залоге недвижимости)" обязательство, обеспечиваемое ипотекой, должно быть названо в договоре об ипотеке с указанием его суммы, основания возникновения и срока исполнения. В тех случаях, когда это обязательство основано на каком-либо договоре, должны быть указаны стороны этого договора, дата и место его заключения. Если обеспечиваемое ипотекой обязательство подлежит исполнению по частям, в договоре об ипотеке должны быть указаны сроки (периодичность) соответствующих платежей и их размеры либо условия, позволяющие определить эти размеры.</w:t>
      </w:r>
    </w:p>
    <w:p w14:paraId="571E1223">
      <w:pPr>
        <w:pStyle w:val="193"/>
        <w:ind w:left="0" w:firstLine="567"/>
        <w:rPr>
          <w:rFonts w:ascii="Times New Roman" w:hAnsi="Times New Roman"/>
          <w:sz w:val="28"/>
          <w:szCs w:val="28"/>
        </w:rPr>
      </w:pPr>
      <w:r>
        <w:rPr>
          <w:rFonts w:ascii="Times New Roman" w:hAnsi="Times New Roman"/>
          <w:sz w:val="28"/>
          <w:szCs w:val="28"/>
        </w:rPr>
        <w:t xml:space="preserve">Таким образом, если в кредитном договоре, на котором основан договор об ипотеке, сумма кредита разделена между супругами, созаемщиками, то в данном подразделе в графе </w:t>
      </w:r>
      <w:r>
        <w:rPr>
          <w:rFonts w:ascii="Times New Roman" w:hAnsi="Times New Roman"/>
          <w:b/>
          <w:sz w:val="28"/>
          <w:szCs w:val="28"/>
        </w:rPr>
        <w:t>"Сумма обязательства/размер обязательства по состоянию на отчетную дату (руб.)"</w:t>
      </w:r>
      <w:r>
        <w:rPr>
          <w:rFonts w:ascii="Times New Roman" w:hAnsi="Times New Roman"/>
          <w:sz w:val="28"/>
          <w:szCs w:val="28"/>
        </w:rPr>
        <w:t xml:space="preserve"> следует отразить в каждой справке (служащего (работника) и его супруги (супруга)) сумму в соответствии с данным договором. Если в кредитном договоре сумма обязательств не разделена, то следует отразить всю сумму обязательств, а в графе </w:t>
      </w:r>
      <w:r>
        <w:rPr>
          <w:rFonts w:ascii="Times New Roman" w:hAnsi="Times New Roman"/>
          <w:b/>
          <w:sz w:val="28"/>
          <w:szCs w:val="28"/>
        </w:rPr>
        <w:t>"Условие обязательства"</w:t>
      </w:r>
      <w:r>
        <w:rPr>
          <w:rFonts w:ascii="Times New Roman" w:hAnsi="Times New Roman"/>
          <w:sz w:val="28"/>
          <w:szCs w:val="28"/>
        </w:rPr>
        <w:t xml:space="preserve"> названного подраздела указать созаемщиков. </w:t>
      </w:r>
    </w:p>
    <w:p w14:paraId="37AABA62">
      <w:pPr>
        <w:ind w:firstLine="567"/>
        <w:rPr>
          <w:rFonts w:ascii="Times New Roman" w:hAnsi="Times New Roman"/>
          <w:sz w:val="28"/>
          <w:szCs w:val="28"/>
        </w:rPr>
      </w:pPr>
      <w:bookmarkStart w:id="85" w:name="Обязательства"/>
      <w:r>
        <w:rPr>
          <w:rFonts w:ascii="Times New Roman" w:hAnsi="Times New Roman"/>
          <w:b/>
          <w:sz w:val="28"/>
          <w:szCs w:val="28"/>
        </w:rPr>
        <w:t>3) обязательства в соответствии с Законом Российской Федерации от 27 ноября 1992 г. № 4015-</w:t>
      </w:r>
      <w:r>
        <w:rPr>
          <w:rFonts w:ascii="Times New Roman" w:hAnsi="Times New Roman"/>
          <w:b/>
          <w:sz w:val="28"/>
          <w:szCs w:val="28"/>
          <w:lang w:val="en-US"/>
        </w:rPr>
        <w:t>I</w:t>
      </w:r>
      <w:r>
        <w:rPr>
          <w:rFonts w:ascii="Times New Roman" w:hAnsi="Times New Roman"/>
          <w:b/>
          <w:sz w:val="28"/>
          <w:szCs w:val="28"/>
        </w:rPr>
        <w:t xml:space="preserve"> "Об организации страхового дела в Российской Федерации", то есть обязательства, возникающие исходя из условий договора со страховой организацией или иностранной страховой организацией, имеющей право в соответствии с обозначенным Законом Российской Федерации осуществлять страховую деятельность на территории Российской Федерации (далее – страховщик), по договорам страхования жизни на случай смерти, дожития до определенного возраста или срока либо наступления иного события; пенсионного страхования; страхования жизни с условием периодических страховых выплат (ренты, аннуитетов) и (или) с участием страхователя в инвестиционном доходе страховщика, по которым служащий (работник), его супруга (супруг), несовершеннолетние дети являются страхователями; долевого страхования жизни. </w:t>
      </w:r>
      <w:r>
        <w:rPr>
          <w:rFonts w:ascii="Times New Roman" w:hAnsi="Times New Roman"/>
          <w:sz w:val="28"/>
          <w:szCs w:val="28"/>
        </w:rPr>
        <w:t>Данные договоры страхования предполагают накопление средств к определенному договором страхования возрасту страхователя (застрахованного лица) или дожития им до установленного договором страхования срока, либо наступление иных установленных договором страхования событий в жизни страхователя (застрахованного лица), а в случае заключения договора долевого страхования жизни – также денежной компенсации в связи с погашением инвестиционных паев открытых паевых инвестиционных фондов или инвестиционных паев закрытых паевых инвестиционных фондов, заключаются на продолжительный период и в этой связи страховые выплаты по таким договорам рассматриваются, как правило, в качестве дохода лица-выгодоприобретателя по соответствующему договору, в отношении которого представляется справка.</w:t>
      </w:r>
    </w:p>
    <w:p w14:paraId="2BBD0A22">
      <w:pPr>
        <w:ind w:firstLine="567"/>
        <w:rPr>
          <w:rFonts w:ascii="Times New Roman" w:hAnsi="Times New Roman"/>
          <w:sz w:val="28"/>
          <w:szCs w:val="28"/>
        </w:rPr>
      </w:pPr>
      <w:r>
        <w:rPr>
          <w:rFonts w:ascii="Times New Roman" w:hAnsi="Times New Roman"/>
          <w:sz w:val="28"/>
          <w:szCs w:val="28"/>
        </w:rPr>
        <w:t>Обязательства, возникающие исходя из условий договора страхования, по иным видам страхования (не поименованным в абзаце первом рассматриваемого подпункта) не подлежат отражению в подразделе 6.2 раздела 6 справки.</w:t>
      </w:r>
    </w:p>
    <w:p w14:paraId="0E3A8D9A">
      <w:pPr>
        <w:ind w:firstLine="567"/>
        <w:rPr>
          <w:rFonts w:ascii="Times New Roman" w:hAnsi="Times New Roman"/>
          <w:sz w:val="28"/>
          <w:szCs w:val="28"/>
        </w:rPr>
      </w:pPr>
      <w:r>
        <w:rPr>
          <w:rFonts w:ascii="Times New Roman" w:hAnsi="Times New Roman"/>
          <w:sz w:val="28"/>
          <w:szCs w:val="28"/>
        </w:rPr>
        <w:t>До исполнения страховщиком обязательств по договору страхования в полном объеме информация об имеющихся на отчетную дату обязательствах страховщика по договору страхования также подлежит отражению в данном подразделе.</w:t>
      </w:r>
    </w:p>
    <w:p w14:paraId="5E95ADF7">
      <w:pPr>
        <w:ind w:firstLine="567"/>
        <w:rPr>
          <w:rFonts w:ascii="Times New Roman" w:hAnsi="Times New Roman"/>
          <w:sz w:val="28"/>
          <w:szCs w:val="28"/>
        </w:rPr>
      </w:pPr>
      <w:r>
        <w:rPr>
          <w:rFonts w:ascii="Times New Roman" w:hAnsi="Times New Roman"/>
          <w:sz w:val="28"/>
          <w:szCs w:val="28"/>
        </w:rPr>
        <w:t>Справку рекомендуется заполнять с учетом сведений, полученных от страховщика в рамках Указания Банка России № 5798-У. В отношении договоров инвестиционного страхования жизни рекомендуется также получать сведения у страховщика.</w:t>
      </w:r>
    </w:p>
    <w:p w14:paraId="2F3FD6CA">
      <w:pPr>
        <w:ind w:firstLine="567"/>
        <w:rPr>
          <w:rFonts w:ascii="Times New Roman" w:hAnsi="Times New Roman"/>
          <w:sz w:val="28"/>
          <w:szCs w:val="28"/>
        </w:rPr>
      </w:pPr>
      <w:r>
        <w:rPr>
          <w:rFonts w:ascii="Times New Roman" w:hAnsi="Times New Roman"/>
          <w:sz w:val="28"/>
          <w:szCs w:val="28"/>
        </w:rPr>
        <w:t>Также в Указании Банка России № 5798-У предусмотрено, что кредитная организация указывает информацию о договорах страхования, заключенных кредитной организацией в отчетном периоде в качестве агента (посредника) с гражданином, являющимся или являвшимся клиентом кредитной организации: наименования страховых организаций и даты заключения договоров страхования. Иную необходимую информацию для заполнения справки требуется получать непосредственно от страховщика.</w:t>
      </w:r>
    </w:p>
    <w:p w14:paraId="3F1FD91A">
      <w:pPr>
        <w:ind w:firstLine="567"/>
        <w:rPr>
          <w:rFonts w:ascii="Times New Roman" w:hAnsi="Times New Roman"/>
          <w:sz w:val="28"/>
          <w:szCs w:val="28"/>
        </w:rPr>
      </w:pPr>
      <w:r>
        <w:rPr>
          <w:rFonts w:ascii="Times New Roman" w:hAnsi="Times New Roman"/>
          <w:sz w:val="28"/>
          <w:szCs w:val="28"/>
        </w:rPr>
        <w:t>Обязательное пенсионное страхование и негосударственное пенсионное обеспечение не подпадает под регулирование Законом Российской Федерации от 27 ноября 1992 г. № 4015-</w:t>
      </w:r>
      <w:r>
        <w:rPr>
          <w:rFonts w:ascii="Times New Roman" w:hAnsi="Times New Roman"/>
          <w:sz w:val="28"/>
          <w:szCs w:val="28"/>
          <w:lang w:val="en-US"/>
        </w:rPr>
        <w:t>I</w:t>
      </w:r>
      <w:r>
        <w:rPr>
          <w:rFonts w:ascii="Times New Roman" w:hAnsi="Times New Roman"/>
          <w:sz w:val="28"/>
          <w:szCs w:val="28"/>
        </w:rPr>
        <w:t xml:space="preserve"> "Об организации страхового дела в Российской Федерации". </w:t>
      </w:r>
    </w:p>
    <w:bookmarkEnd w:id="85"/>
    <w:p w14:paraId="43D88C7E">
      <w:pPr>
        <w:ind w:firstLine="567"/>
        <w:rPr>
          <w:rFonts w:ascii="Times New Roman" w:hAnsi="Times New Roman"/>
          <w:sz w:val="28"/>
          <w:szCs w:val="28"/>
        </w:rPr>
      </w:pPr>
      <w:bookmarkStart w:id="86" w:name="Брокер"/>
      <w:r>
        <w:rPr>
          <w:rFonts w:ascii="Times New Roman" w:hAnsi="Times New Roman"/>
          <w:b/>
          <w:sz w:val="28"/>
          <w:szCs w:val="28"/>
        </w:rPr>
        <w:t xml:space="preserve">4) обязательства по договорам о брокерском обслуживании и договорам доверительного управления ценными бумагами, в том числе по договорам, предусматривающим ведение индивидуального инвестиционного счета. </w:t>
      </w:r>
      <w:r>
        <w:rPr>
          <w:rFonts w:ascii="Times New Roman" w:hAnsi="Times New Roman"/>
          <w:sz w:val="28"/>
          <w:szCs w:val="28"/>
        </w:rPr>
        <w:t xml:space="preserve">В рамках договора на брокерское обслуживание либо договора доверительного управления ценными бумагами у клиента и профессионального участника рынка ценных бумаг возникает ряд взаимных обязательств денежного характера (у клиента – обязательства по оплате вознаграждения, у профессионального участника – обязательства вернуть по требованию клиента переданные денежные средства). </w:t>
      </w:r>
    </w:p>
    <w:p w14:paraId="4EB6418C">
      <w:pPr>
        <w:ind w:firstLine="567"/>
        <w:rPr>
          <w:rFonts w:ascii="Times New Roman" w:hAnsi="Times New Roman"/>
          <w:sz w:val="28"/>
          <w:szCs w:val="28"/>
        </w:rPr>
      </w:pPr>
      <w:r>
        <w:rPr>
          <w:rFonts w:ascii="Times New Roman" w:hAnsi="Times New Roman"/>
          <w:sz w:val="28"/>
          <w:szCs w:val="28"/>
        </w:rPr>
        <w:t xml:space="preserve">В подразделе 6.2 раздела 6 справки подлежат отражению сведения о денежных обязательствах клиента и профессионального участника рынка ценных бумаг, возникших в рамках соответствующего договора, которые равны или превышают 500 000 руб. Денежные обязательства профессионального участника рынка ценных бумаг указываются на отчетную дату за вычетом стоимости приобретенных в рамках договора на брокерское обслуживание либо договора доверительного управления ценных бумаг. Для обязательств, выраженных в иностранной валюте, сумма указывается в рублях по курсу Банка России на отчетную дату </w:t>
      </w:r>
      <w:r>
        <w:rPr>
          <w:rFonts w:ascii="Times New Roman" w:hAnsi="Times New Roman" w:eastAsia="Times New Roman"/>
          <w:sz w:val="28"/>
          <w:szCs w:val="28"/>
          <w:lang w:eastAsia="ru-RU"/>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eastAsia="Times New Roman"/>
          <w:sz w:val="28"/>
          <w:szCs w:val="28"/>
          <w:lang w:eastAsia="ru-RU"/>
        </w:rPr>
        <w:t>)</w:t>
      </w:r>
      <w:r>
        <w:rPr>
          <w:rFonts w:ascii="Times New Roman" w:hAnsi="Times New Roman"/>
          <w:sz w:val="28"/>
          <w:szCs w:val="28"/>
        </w:rPr>
        <w:t>.</w:t>
      </w:r>
    </w:p>
    <w:p w14:paraId="4CCE030F">
      <w:pPr>
        <w:ind w:firstLine="567"/>
        <w:rPr>
          <w:rFonts w:ascii="Times New Roman" w:hAnsi="Times New Roman"/>
          <w:sz w:val="28"/>
          <w:szCs w:val="28"/>
        </w:rPr>
      </w:pPr>
    </w:p>
    <w:bookmarkEnd w:id="86"/>
    <w:p w14:paraId="2A6B93F1">
      <w:pPr>
        <w:pStyle w:val="3"/>
        <w:ind w:firstLine="0"/>
        <w:jc w:val="center"/>
        <w:rPr>
          <w:b w:val="0"/>
        </w:rPr>
      </w:pPr>
      <w:bookmarkStart w:id="87" w:name="_Toc225936099"/>
      <w:r>
        <w:t>РАЗДЕЛ 7.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ОТЧЕТНОГО ПЕРИОДА В РЕЗУЛЬТАТЕ БЕЗВОЗМЕЗДНОЙ СДЕЛКИ</w:t>
      </w:r>
      <w:bookmarkEnd w:id="87"/>
    </w:p>
    <w:p w14:paraId="7C173EEB">
      <w:pPr>
        <w:ind w:firstLine="0"/>
        <w:rPr>
          <w:rFonts w:ascii="Times New Roman" w:hAnsi="Times New Roman"/>
          <w:sz w:val="28"/>
          <w:szCs w:val="28"/>
        </w:rPr>
      </w:pPr>
    </w:p>
    <w:p w14:paraId="22D5AA52">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данном разделе указываются сведения о недвижимом имуществе (в т.ч. доли в праве собственности), транспортных средствах, ценных бумагах (в т.ч. долях участия в уставных капиталах коммерческих организаций и фондов), цифровых финансовых активах, цифровых правах, включающих одновременно цифровые финансовые активы и иные цифровые права, утилитарных цифровых правах и цифровой валюте, отчужденных в течение отчетного периода в результате безвозмездной сделки, а также, например, сведения об утилизации автомобиля. </w:t>
      </w:r>
    </w:p>
    <w:p w14:paraId="79F3C375">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Безвозмездной признается сделка, по которой одна сторона (служащий (работник), его супруга (супруг), несовершеннолетний ребенок) обязуется предоставить что-либо другой стороне без получения от нее платы или иного встречного предоставления.</w:t>
      </w:r>
    </w:p>
    <w:p w14:paraId="179E5E23">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К безвозмездной сделке можно отнести договор дарения, соглашение о разделе имущества, договор (соглашение) об определении долей, а также брачный договор, который определяет порядок владения ранее совместно нажитого имущества (режим раздельной собственности).</w:t>
      </w:r>
    </w:p>
    <w:p w14:paraId="318E174B">
      <w:pPr>
        <w:pStyle w:val="193"/>
        <w:widowControl w:val="0"/>
        <w:ind w:left="0" w:firstLine="567"/>
        <w:rPr>
          <w:rFonts w:ascii="Times New Roman" w:hAnsi="Times New Roman"/>
          <w:sz w:val="28"/>
          <w:szCs w:val="28"/>
        </w:rPr>
      </w:pPr>
      <w:r>
        <w:rPr>
          <w:rFonts w:ascii="Times New Roman" w:hAnsi="Times New Roman"/>
          <w:sz w:val="28"/>
          <w:szCs w:val="28"/>
        </w:rPr>
        <w:t>Также подлежит отражению в настоящем разделе ситуация, связанная с отчуждением доли имущества в связи с использованием средств (части средств) материнского (семейного) капитала (например, оформление жилого помещения в общую собственность служащего (работника), его супруги (супруга) и несовершеннолетних детей с определением размера долей по соглашению).</w:t>
      </w:r>
    </w:p>
    <w:p w14:paraId="33206307">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Уничтоженные объекты имущества не подлежат отражению в данном разделе справки.</w:t>
      </w:r>
    </w:p>
    <w:p w14:paraId="7C83C1A8">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Договор мены не подлежит отражению в данном разделе справки, так как он является возмездным.</w:t>
      </w:r>
    </w:p>
    <w:p w14:paraId="65A93A1F">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Вопросы, связанные с "перераспределением долей", для определения необходимости отражения в данном разделе требуют анализа правоустанавливающих документов, на основании которых осуществлено такое "перераспределение".</w:t>
      </w:r>
    </w:p>
    <w:p w14:paraId="2827AD47">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Каждый объект безвозмездной сделки указывается отдельно.</w:t>
      </w:r>
    </w:p>
    <w:p w14:paraId="152F337E">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строках </w:t>
      </w:r>
      <w:r>
        <w:rPr>
          <w:rFonts w:ascii="Times New Roman" w:hAnsi="Times New Roman"/>
          <w:b/>
          <w:sz w:val="28"/>
        </w:rPr>
        <w:t>"Земельные участки"</w:t>
      </w:r>
      <w:r>
        <w:rPr>
          <w:rFonts w:ascii="Times New Roman" w:hAnsi="Times New Roman"/>
          <w:sz w:val="28"/>
          <w:szCs w:val="28"/>
        </w:rPr>
        <w:t xml:space="preserve"> и </w:t>
      </w:r>
      <w:r>
        <w:rPr>
          <w:rFonts w:ascii="Times New Roman" w:hAnsi="Times New Roman"/>
          <w:b/>
          <w:sz w:val="28"/>
        </w:rPr>
        <w:t>"Иное недвижимое имущество"</w:t>
      </w:r>
      <w:r>
        <w:rPr>
          <w:rFonts w:ascii="Times New Roman" w:hAnsi="Times New Roman"/>
          <w:sz w:val="28"/>
          <w:szCs w:val="28"/>
        </w:rPr>
        <w:t xml:space="preserve"> рекомендуется указывать вид недвижимого имущества (в отношении земельных участков следует руководствоваться </w:t>
      </w:r>
      <w:r>
        <w:fldChar w:fldCharType="begin"/>
      </w:r>
      <w:r>
        <w:instrText xml:space="preserve"> HYPERLINK \l "Земельные" </w:instrText>
      </w:r>
      <w:r>
        <w:fldChar w:fldCharType="separate"/>
      </w:r>
      <w:r>
        <w:rPr>
          <w:rStyle w:val="17"/>
          <w:rFonts w:ascii="Times New Roman" w:hAnsi="Times New Roman"/>
          <w:sz w:val="28"/>
        </w:rPr>
        <w:t xml:space="preserve">пунктом </w:t>
      </w:r>
      <w:r>
        <w:rPr>
          <w:rStyle w:val="17"/>
          <w:rFonts w:ascii="Times New Roman" w:hAnsi="Times New Roman"/>
          <w:sz w:val="28"/>
          <w:szCs w:val="28"/>
        </w:rPr>
        <w:t>111</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color w:val="auto"/>
          <w:sz w:val="28"/>
          <w:szCs w:val="28"/>
          <w:u w:val="none"/>
        </w:rPr>
        <w:t>),</w:t>
      </w:r>
      <w:r>
        <w:rPr>
          <w:rFonts w:ascii="Times New Roman" w:hAnsi="Times New Roman"/>
          <w:sz w:val="28"/>
          <w:szCs w:val="28"/>
        </w:rPr>
        <w:t xml:space="preserve"> местонахождение (адрес) в соответствии </w:t>
      </w:r>
      <w:r>
        <w:rPr>
          <w:rFonts w:ascii="Times New Roman" w:hAnsi="Times New Roman"/>
          <w:sz w:val="28"/>
        </w:rPr>
        <w:t xml:space="preserve">с </w:t>
      </w:r>
      <w:r>
        <w:fldChar w:fldCharType="begin"/>
      </w:r>
      <w:r>
        <w:instrText xml:space="preserve"> HYPERLINK \l "Адрес" </w:instrText>
      </w:r>
      <w:r>
        <w:fldChar w:fldCharType="separate"/>
      </w:r>
      <w:r>
        <w:rPr>
          <w:rStyle w:val="17"/>
          <w:rFonts w:ascii="Times New Roman" w:hAnsi="Times New Roman"/>
          <w:sz w:val="28"/>
        </w:rPr>
        <w:t xml:space="preserve">пунктами </w:t>
      </w:r>
      <w:r>
        <w:rPr>
          <w:rStyle w:val="17"/>
          <w:rFonts w:ascii="Times New Roman" w:hAnsi="Times New Roman"/>
          <w:sz w:val="28"/>
          <w:szCs w:val="28"/>
        </w:rPr>
        <w:t>119</w:t>
      </w:r>
      <w:r>
        <w:rPr>
          <w:rStyle w:val="17"/>
          <w:rFonts w:ascii="Times New Roman" w:hAnsi="Times New Roman"/>
          <w:sz w:val="28"/>
        </w:rPr>
        <w:t xml:space="preserve"> и </w:t>
      </w:r>
      <w:r>
        <w:rPr>
          <w:rStyle w:val="17"/>
          <w:rFonts w:ascii="Times New Roman" w:hAnsi="Times New Roman"/>
          <w:sz w:val="28"/>
          <w:szCs w:val="28"/>
        </w:rPr>
        <w:t>120</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color w:val="auto"/>
          <w:sz w:val="28"/>
          <w:szCs w:val="28"/>
          <w:u w:val="none"/>
        </w:rPr>
        <w:t>,</w:t>
      </w:r>
      <w:r>
        <w:rPr>
          <w:rFonts w:ascii="Times New Roman" w:hAnsi="Times New Roman"/>
          <w:sz w:val="28"/>
          <w:szCs w:val="28"/>
        </w:rPr>
        <w:t xml:space="preserve"> площадь (кв. м) в соответствии </w:t>
      </w:r>
      <w:r>
        <w:rPr>
          <w:rFonts w:ascii="Times New Roman" w:hAnsi="Times New Roman"/>
          <w:sz w:val="28"/>
        </w:rPr>
        <w:t xml:space="preserve">с </w:t>
      </w:r>
      <w:r>
        <w:fldChar w:fldCharType="begin"/>
      </w:r>
      <w:r>
        <w:instrText xml:space="preserve"> HYPERLINK \l "Площадь" </w:instrText>
      </w:r>
      <w:r>
        <w:fldChar w:fldCharType="separate"/>
      </w:r>
      <w:r>
        <w:rPr>
          <w:rStyle w:val="17"/>
          <w:rFonts w:ascii="Times New Roman" w:hAnsi="Times New Roman"/>
          <w:sz w:val="28"/>
        </w:rPr>
        <w:t xml:space="preserve">пунктом </w:t>
      </w:r>
      <w:r>
        <w:rPr>
          <w:rStyle w:val="17"/>
          <w:rFonts w:ascii="Times New Roman" w:hAnsi="Times New Roman"/>
          <w:sz w:val="28"/>
          <w:szCs w:val="28"/>
        </w:rPr>
        <w:t>121</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color w:val="auto"/>
          <w:sz w:val="28"/>
          <w:szCs w:val="28"/>
          <w:u w:val="none"/>
        </w:rPr>
        <w:t>.</w:t>
      </w:r>
    </w:p>
    <w:p w14:paraId="4ED7332D">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строке </w:t>
      </w:r>
      <w:r>
        <w:rPr>
          <w:rFonts w:ascii="Times New Roman" w:hAnsi="Times New Roman"/>
          <w:b/>
          <w:sz w:val="28"/>
        </w:rPr>
        <w:t>"Транспортные средства"</w:t>
      </w:r>
      <w:r>
        <w:rPr>
          <w:rFonts w:ascii="Times New Roman" w:hAnsi="Times New Roman"/>
          <w:sz w:val="28"/>
          <w:szCs w:val="28"/>
        </w:rPr>
        <w:t xml:space="preserve"> рекомендуется указывать вид, марку, модель транспортного средства, год изготовления, место регистрации.</w:t>
      </w:r>
    </w:p>
    <w:p w14:paraId="30D32D59">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строке </w:t>
      </w:r>
      <w:r>
        <w:rPr>
          <w:rFonts w:ascii="Times New Roman" w:hAnsi="Times New Roman"/>
          <w:b/>
          <w:sz w:val="28"/>
        </w:rPr>
        <w:t>"Ценные бумаги"</w:t>
      </w:r>
      <w:r>
        <w:rPr>
          <w:rFonts w:ascii="Times New Roman" w:hAnsi="Times New Roman"/>
          <w:sz w:val="28"/>
          <w:szCs w:val="28"/>
        </w:rPr>
        <w:t xml:space="preserve"> рекомендуется указывать вид ценной бумаги, лицо, выпустившее ценную бумагу, общее количество ценных бумаг, отчужденных в результате безвозмездной сделки, а также номинальную стоимость в рублях, а если стоимость выражена в иностранной валюте, то в рублях по курсу Банка России на дату совершения безвозмездной сделки </w:t>
      </w:r>
      <w:r>
        <w:rPr>
          <w:rFonts w:ascii="Times New Roman" w:hAnsi="Times New Roman" w:eastAsia="Times New Roman"/>
          <w:sz w:val="28"/>
          <w:szCs w:val="28"/>
          <w:lang w:eastAsia="ru-RU"/>
        </w:rPr>
        <w:t xml:space="preserve">(с учетом положений </w:t>
      </w:r>
      <w:r>
        <w:fldChar w:fldCharType="begin"/>
      </w:r>
      <w:r>
        <w:instrText xml:space="preserve"> HYPERLINK \l "Справка" </w:instrText>
      </w:r>
      <w:r>
        <w:fldChar w:fldCharType="separate"/>
      </w:r>
      <w:r>
        <w:rPr>
          <w:rStyle w:val="17"/>
          <w:rFonts w:ascii="Times New Roman" w:hAnsi="Times New Roman"/>
          <w:sz w:val="28"/>
        </w:rPr>
        <w:t xml:space="preserve">пункта </w:t>
      </w:r>
      <w:r>
        <w:rPr>
          <w:rStyle w:val="17"/>
          <w:rFonts w:ascii="Times New Roman" w:hAnsi="Times New Roman" w:eastAsia="Times New Roman"/>
          <w:sz w:val="28"/>
          <w:szCs w:val="28"/>
          <w:lang w:eastAsia="ru-RU"/>
        </w:rPr>
        <w:t>56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Fonts w:ascii="Times New Roman" w:hAnsi="Times New Roman" w:eastAsia="Times New Roman"/>
          <w:sz w:val="28"/>
          <w:szCs w:val="28"/>
          <w:lang w:eastAsia="ru-RU"/>
        </w:rPr>
        <w:t>)</w:t>
      </w:r>
      <w:r>
        <w:rPr>
          <w:rFonts w:ascii="Times New Roman" w:hAnsi="Times New Roman"/>
          <w:sz w:val="28"/>
          <w:szCs w:val="28"/>
        </w:rPr>
        <w:t xml:space="preserve">. </w:t>
      </w:r>
    </w:p>
    <w:p w14:paraId="307F8DAB">
      <w:pPr>
        <w:pStyle w:val="193"/>
        <w:widowControl w:val="0"/>
        <w:ind w:left="0" w:firstLine="567"/>
        <w:rPr>
          <w:rFonts w:ascii="Times New Roman" w:hAnsi="Times New Roman"/>
          <w:sz w:val="28"/>
        </w:rPr>
      </w:pPr>
      <w:r>
        <w:rPr>
          <w:rFonts w:ascii="Times New Roman" w:hAnsi="Times New Roman"/>
          <w:sz w:val="28"/>
          <w:szCs w:val="28"/>
        </w:rPr>
        <w:t xml:space="preserve">Для долей участия в уставных капиталах коммерческих организаций и фондах рекомендуется указывать наименование и организационно-правовую форму организации в соответствии </w:t>
      </w:r>
      <w:r>
        <w:rPr>
          <w:rFonts w:ascii="Times New Roman" w:hAnsi="Times New Roman"/>
          <w:sz w:val="28"/>
        </w:rPr>
        <w:t xml:space="preserve">с </w:t>
      </w:r>
      <w:r>
        <w:fldChar w:fldCharType="begin"/>
      </w:r>
      <w:r>
        <w:instrText xml:space="preserve"> HYPERLINK \l "Наименование" </w:instrText>
      </w:r>
      <w:r>
        <w:fldChar w:fldCharType="separate"/>
      </w:r>
      <w:r>
        <w:rPr>
          <w:rStyle w:val="17"/>
          <w:rFonts w:ascii="Times New Roman" w:hAnsi="Times New Roman"/>
          <w:sz w:val="28"/>
          <w:szCs w:val="28"/>
        </w:rPr>
        <w:t>пунктом 184 настоящих Методических рекомендаций</w:t>
      </w:r>
      <w:r>
        <w:rPr>
          <w:rStyle w:val="17"/>
          <w:rFonts w:ascii="Times New Roman" w:hAnsi="Times New Roman"/>
          <w:sz w:val="28"/>
          <w:szCs w:val="28"/>
        </w:rPr>
        <w:fldChar w:fldCharType="end"/>
      </w:r>
      <w:r>
        <w:rPr>
          <w:rStyle w:val="17"/>
          <w:rFonts w:ascii="Times New Roman" w:hAnsi="Times New Roman"/>
          <w:color w:val="auto"/>
          <w:sz w:val="28"/>
          <w:szCs w:val="28"/>
          <w:u w:val="none"/>
        </w:rPr>
        <w:t>,</w:t>
      </w:r>
      <w:r>
        <w:rPr>
          <w:rFonts w:ascii="Times New Roman" w:hAnsi="Times New Roman"/>
          <w:sz w:val="28"/>
          <w:szCs w:val="28"/>
        </w:rPr>
        <w:t xml:space="preserve"> местонахождение организации (адрес) в соответствии </w:t>
      </w:r>
      <w:r>
        <w:rPr>
          <w:rFonts w:ascii="Times New Roman" w:hAnsi="Times New Roman"/>
          <w:sz w:val="28"/>
        </w:rPr>
        <w:t xml:space="preserve">с </w:t>
      </w:r>
      <w:r>
        <w:fldChar w:fldCharType="begin"/>
      </w:r>
      <w:r>
        <w:instrText xml:space="preserve"> HYPERLINK \l "Местонахождение" </w:instrText>
      </w:r>
      <w:r>
        <w:fldChar w:fldCharType="separate"/>
      </w:r>
      <w:r>
        <w:rPr>
          <w:rStyle w:val="17"/>
          <w:rFonts w:ascii="Times New Roman" w:hAnsi="Times New Roman"/>
          <w:sz w:val="28"/>
        </w:rPr>
        <w:t xml:space="preserve">пунктом </w:t>
      </w:r>
      <w:r>
        <w:rPr>
          <w:rStyle w:val="17"/>
          <w:rFonts w:ascii="Times New Roman" w:hAnsi="Times New Roman"/>
          <w:sz w:val="28"/>
          <w:szCs w:val="28"/>
        </w:rPr>
        <w:t>185</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color w:val="auto"/>
          <w:sz w:val="28"/>
          <w:szCs w:val="28"/>
          <w:u w:val="none"/>
        </w:rPr>
        <w:t>,</w:t>
      </w:r>
      <w:r>
        <w:rPr>
          <w:rFonts w:ascii="Times New Roman" w:hAnsi="Times New Roman"/>
          <w:sz w:val="28"/>
          <w:szCs w:val="28"/>
        </w:rPr>
        <w:t xml:space="preserve"> уставный капитал в соответствии </w:t>
      </w:r>
      <w:r>
        <w:rPr>
          <w:rFonts w:ascii="Times New Roman" w:hAnsi="Times New Roman"/>
          <w:sz w:val="28"/>
        </w:rPr>
        <w:t xml:space="preserve">с </w:t>
      </w:r>
      <w:r>
        <w:fldChar w:fldCharType="begin"/>
      </w:r>
      <w:r>
        <w:instrText xml:space="preserve"> HYPERLINK \l "Капитал" </w:instrText>
      </w:r>
      <w:r>
        <w:fldChar w:fldCharType="separate"/>
      </w:r>
      <w:r>
        <w:rPr>
          <w:rStyle w:val="17"/>
          <w:rFonts w:ascii="Times New Roman" w:hAnsi="Times New Roman"/>
          <w:sz w:val="28"/>
        </w:rPr>
        <w:t xml:space="preserve">пунктом </w:t>
      </w:r>
      <w:r>
        <w:rPr>
          <w:rStyle w:val="17"/>
          <w:rFonts w:ascii="Times New Roman" w:hAnsi="Times New Roman"/>
          <w:sz w:val="28"/>
          <w:szCs w:val="28"/>
        </w:rPr>
        <w:t>186</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color w:val="000000" w:themeColor="text1"/>
          <w:sz w:val="28"/>
          <w:szCs w:val="28"/>
          <w:u w:val="none"/>
          <w14:textFill>
            <w14:solidFill>
              <w14:schemeClr w14:val="tx1"/>
            </w14:solidFill>
          </w14:textFill>
        </w:rPr>
        <w:t>,</w:t>
      </w:r>
      <w:r>
        <w:rPr>
          <w:rFonts w:ascii="Times New Roman" w:hAnsi="Times New Roman"/>
          <w:sz w:val="28"/>
        </w:rPr>
        <w:t xml:space="preserve"> доли участия в соответствии с </w:t>
      </w:r>
      <w:r>
        <w:fldChar w:fldCharType="begin"/>
      </w:r>
      <w:r>
        <w:instrText xml:space="preserve"> HYPERLINK \l "Долиучастия" </w:instrText>
      </w:r>
      <w:r>
        <w:fldChar w:fldCharType="separate"/>
      </w:r>
      <w:r>
        <w:rPr>
          <w:rStyle w:val="17"/>
          <w:rFonts w:ascii="Times New Roman" w:hAnsi="Times New Roman"/>
          <w:sz w:val="28"/>
        </w:rPr>
        <w:t xml:space="preserve">пунктом </w:t>
      </w:r>
      <w:r>
        <w:rPr>
          <w:rStyle w:val="17"/>
          <w:rFonts w:ascii="Times New Roman" w:hAnsi="Times New Roman"/>
          <w:sz w:val="28"/>
          <w:szCs w:val="28"/>
        </w:rPr>
        <w:t>187</w:t>
      </w:r>
      <w:r>
        <w:rPr>
          <w:rStyle w:val="17"/>
          <w:rFonts w:ascii="Times New Roman" w:hAnsi="Times New Roman"/>
          <w:sz w:val="28"/>
        </w:rPr>
        <w:t xml:space="preserve"> настоящих Методических рекомендаций</w:t>
      </w:r>
      <w:r>
        <w:rPr>
          <w:rStyle w:val="17"/>
          <w:rFonts w:ascii="Times New Roman" w:hAnsi="Times New Roman"/>
          <w:sz w:val="28"/>
        </w:rPr>
        <w:fldChar w:fldCharType="end"/>
      </w:r>
      <w:r>
        <w:rPr>
          <w:rStyle w:val="17"/>
          <w:rFonts w:ascii="Times New Roman" w:hAnsi="Times New Roman"/>
          <w:color w:val="000000" w:themeColor="text1"/>
          <w:sz w:val="28"/>
          <w:szCs w:val="28"/>
          <w:u w:val="none"/>
          <w14:textFill>
            <w14:solidFill>
              <w14:schemeClr w14:val="tx1"/>
            </w14:solidFill>
          </w14:textFill>
        </w:rPr>
        <w:t>.</w:t>
      </w:r>
    </w:p>
    <w:p w14:paraId="286AA6E6">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строке </w:t>
      </w:r>
      <w:r>
        <w:rPr>
          <w:rFonts w:ascii="Times New Roman" w:hAnsi="Times New Roman"/>
          <w:b/>
          <w:sz w:val="28"/>
        </w:rPr>
        <w:t>"Цифровые финансовые активы"</w:t>
      </w:r>
      <w:r>
        <w:rPr>
          <w:rFonts w:ascii="Times New Roman" w:hAnsi="Times New Roman"/>
          <w:sz w:val="28"/>
          <w:szCs w:val="28"/>
        </w:rPr>
        <w:t xml:space="preserve"> рекомендуется указывать наименование цифрового финансового актива (если его нельзя определить, указываются вид и объем прав, удостоверяемых выпускаемым цифровым финансовым активом).</w:t>
      </w:r>
    </w:p>
    <w:p w14:paraId="1E918DDD">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строке </w:t>
      </w:r>
      <w:r>
        <w:rPr>
          <w:rFonts w:ascii="Times New Roman" w:hAnsi="Times New Roman"/>
          <w:b/>
          <w:sz w:val="28"/>
        </w:rPr>
        <w:t>"Цифровые права, включающие одновременно цифровые финансовые активы и иные цифровые права"</w:t>
      </w:r>
      <w:r>
        <w:rPr>
          <w:rFonts w:ascii="Times New Roman" w:hAnsi="Times New Roman"/>
          <w:sz w:val="28"/>
          <w:szCs w:val="28"/>
        </w:rPr>
        <w:t xml:space="preserve"> рекомендуется указывать наименование цифрового права, включающего одновременно цифровые финансовые активы и иные цифровые права (если его нельзя определить, указываются вид и объем прав, удостоверяемых цифровыми финансовыми активами и иными цифровыми правами с указанием видов иных цифровых прав).</w:t>
      </w:r>
    </w:p>
    <w:p w14:paraId="50FC15A0">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строке </w:t>
      </w:r>
      <w:r>
        <w:rPr>
          <w:rFonts w:ascii="Times New Roman" w:hAnsi="Times New Roman"/>
          <w:b/>
          <w:sz w:val="28"/>
        </w:rPr>
        <w:t>"Утилитарные цифровые права"</w:t>
      </w:r>
      <w:r>
        <w:rPr>
          <w:rFonts w:ascii="Times New Roman" w:hAnsi="Times New Roman"/>
          <w:sz w:val="28"/>
          <w:szCs w:val="28"/>
        </w:rPr>
        <w:t xml:space="preserve"> рекомендуется указывать уникальное условное обозначение, идентифицирующее утилитарное цифровое право.</w:t>
      </w:r>
    </w:p>
    <w:p w14:paraId="71D679C2">
      <w:pPr>
        <w:pStyle w:val="193"/>
        <w:widowControl w:val="0"/>
        <w:numPr>
          <w:ilvl w:val="0"/>
          <w:numId w:val="1"/>
        </w:numPr>
        <w:ind w:left="0" w:firstLine="567"/>
        <w:rPr>
          <w:rFonts w:ascii="Times New Roman" w:hAnsi="Times New Roman"/>
          <w:sz w:val="28"/>
          <w:szCs w:val="28"/>
        </w:rPr>
      </w:pPr>
      <w:r>
        <w:rPr>
          <w:rFonts w:ascii="Times New Roman" w:hAnsi="Times New Roman"/>
          <w:sz w:val="28"/>
          <w:szCs w:val="28"/>
        </w:rPr>
        <w:t xml:space="preserve">В строке </w:t>
      </w:r>
      <w:r>
        <w:rPr>
          <w:rFonts w:ascii="Times New Roman" w:hAnsi="Times New Roman"/>
          <w:b/>
          <w:sz w:val="28"/>
        </w:rPr>
        <w:t>"Цифровая валюта"</w:t>
      </w:r>
      <w:r>
        <w:rPr>
          <w:rFonts w:ascii="Times New Roman" w:hAnsi="Times New Roman"/>
          <w:sz w:val="28"/>
          <w:szCs w:val="28"/>
        </w:rPr>
        <w:t xml:space="preserve"> указывается наименование цифровой валюты в соответствии с применимыми документами (без произвольной транслитерации).</w:t>
      </w:r>
    </w:p>
    <w:p w14:paraId="4C09F120">
      <w:pPr>
        <w:pStyle w:val="193"/>
        <w:widowControl w:val="0"/>
        <w:numPr>
          <w:ilvl w:val="0"/>
          <w:numId w:val="1"/>
        </w:numPr>
        <w:ind w:left="0" w:firstLine="567"/>
        <w:rPr>
          <w:rFonts w:ascii="Times New Roman" w:hAnsi="Times New Roman"/>
          <w:sz w:val="28"/>
          <w:szCs w:val="28"/>
        </w:rPr>
      </w:pPr>
      <w:r>
        <w:rPr>
          <w:rFonts w:ascii="Times New Roman" w:hAnsi="Times New Roman"/>
          <w:bCs/>
          <w:sz w:val="28"/>
          <w:szCs w:val="28"/>
        </w:rPr>
        <w:t xml:space="preserve">В графе </w:t>
      </w:r>
      <w:r>
        <w:rPr>
          <w:rFonts w:ascii="Times New Roman" w:hAnsi="Times New Roman"/>
          <w:b/>
          <w:sz w:val="28"/>
        </w:rPr>
        <w:t>"Приобретатель имущества</w:t>
      </w:r>
      <w:r>
        <w:rPr>
          <w:rFonts w:ascii="Times New Roman" w:hAnsi="Times New Roman"/>
          <w:b/>
          <w:bCs/>
          <w:sz w:val="28"/>
          <w:szCs w:val="28"/>
        </w:rPr>
        <w:t xml:space="preserve"> (права)</w:t>
      </w:r>
      <w:r>
        <w:rPr>
          <w:rFonts w:ascii="Times New Roman" w:hAnsi="Times New Roman"/>
          <w:b/>
          <w:sz w:val="28"/>
        </w:rPr>
        <w:t xml:space="preserve"> по сделке"</w:t>
      </w:r>
      <w:r>
        <w:rPr>
          <w:rFonts w:ascii="Times New Roman" w:hAnsi="Times New Roman"/>
          <w:bCs/>
          <w:sz w:val="28"/>
          <w:szCs w:val="28"/>
        </w:rPr>
        <w:t xml:space="preserve"> в случае безвозмездной сделки с физическим лицом указываются </w:t>
      </w:r>
      <w:r>
        <w:rPr>
          <w:rFonts w:ascii="Times New Roman" w:hAnsi="Times New Roman"/>
          <w:sz w:val="28"/>
          <w:szCs w:val="28"/>
        </w:rPr>
        <w:t>его</w:t>
      </w:r>
      <w:r>
        <w:rPr>
          <w:rFonts w:ascii="Times New Roman" w:hAnsi="Times New Roman"/>
          <w:bCs/>
          <w:sz w:val="28"/>
          <w:szCs w:val="28"/>
        </w:rPr>
        <w:t xml:space="preserve"> </w:t>
      </w:r>
      <w:r>
        <w:rPr>
          <w:rFonts w:ascii="Times New Roman" w:hAnsi="Times New Roman"/>
          <w:sz w:val="28"/>
          <w:szCs w:val="28"/>
        </w:rPr>
        <w:t xml:space="preserve">фамилия, имя и отчество (при наличии) (в именительном падеже) полностью, без сокращений в соответствии с документом, удостоверяющим личность, а также серия и номер паспорта. </w:t>
      </w:r>
      <w:r>
        <w:rPr>
          <w:rStyle w:val="191"/>
          <w:rFonts w:ascii="Times New Roman" w:hAnsi="Times New Roman" w:cs="Times New Roman"/>
          <w:sz w:val="28"/>
          <w:szCs w:val="28"/>
        </w:rPr>
        <w:t xml:space="preserve">Если сведения представляются в отношении несовершеннолетнего ребенка, не достигшего 14-летнего возраста, вместо паспорта указываются фамилия, имя, отчество ребенка (в именительном падеже), а также серия, номер свидетельства о рождении, дата выдачи и орган, выдавший данное свидетельство. </w:t>
      </w:r>
      <w:r>
        <w:rPr>
          <w:rFonts w:ascii="Times New Roman" w:hAnsi="Times New Roman"/>
          <w:sz w:val="28"/>
          <w:szCs w:val="28"/>
        </w:rPr>
        <w:t>Также указывается актуальный адрес места регистрации физического лица либо адрес, указанный в договоре.</w:t>
      </w:r>
    </w:p>
    <w:p w14:paraId="347436F6">
      <w:pPr>
        <w:pStyle w:val="193"/>
        <w:widowControl w:val="0"/>
        <w:ind w:left="0" w:firstLine="567"/>
        <w:rPr>
          <w:rStyle w:val="191"/>
          <w:rFonts w:ascii="Times New Roman" w:hAnsi="Times New Roman" w:cs="Times New Roman"/>
          <w:sz w:val="28"/>
          <w:szCs w:val="28"/>
          <w:shd w:val="clear" w:color="auto" w:fill="auto"/>
        </w:rPr>
      </w:pPr>
      <w:r>
        <w:rPr>
          <w:rStyle w:val="191"/>
          <w:rFonts w:ascii="Times New Roman" w:hAnsi="Times New Roman" w:cs="Times New Roman"/>
          <w:sz w:val="28"/>
          <w:szCs w:val="28"/>
          <w:shd w:val="clear" w:color="auto" w:fill="auto"/>
        </w:rPr>
        <w:t>В случае безвозмездной сделки с юридическим лицом в данной графе указываются н</w:t>
      </w:r>
      <w:r>
        <w:rPr>
          <w:rFonts w:ascii="Times New Roman" w:hAnsi="Times New Roman"/>
          <w:sz w:val="28"/>
          <w:szCs w:val="28"/>
        </w:rPr>
        <w:t>аименование, идентификационный номер налогоплательщика и основной государственный регистрационный номер юридического лица.</w:t>
      </w:r>
    </w:p>
    <w:p w14:paraId="37D6B44D">
      <w:pPr>
        <w:pStyle w:val="193"/>
        <w:widowControl w:val="0"/>
        <w:numPr>
          <w:ilvl w:val="0"/>
          <w:numId w:val="1"/>
        </w:numPr>
        <w:ind w:left="0" w:firstLine="567"/>
        <w:rPr>
          <w:rStyle w:val="191"/>
          <w:rFonts w:ascii="Times New Roman" w:hAnsi="Times New Roman" w:cs="Times New Roman"/>
          <w:b/>
          <w:sz w:val="28"/>
          <w:szCs w:val="28"/>
          <w:shd w:val="clear" w:color="auto" w:fill="auto"/>
        </w:rPr>
      </w:pPr>
      <w:r>
        <w:rPr>
          <w:rStyle w:val="191"/>
          <w:rFonts w:ascii="Times New Roman" w:hAnsi="Times New Roman" w:cs="Times New Roman"/>
          <w:sz w:val="28"/>
          <w:szCs w:val="28"/>
          <w:shd w:val="clear" w:color="auto" w:fill="auto"/>
        </w:rPr>
        <w:t xml:space="preserve">В графе </w:t>
      </w:r>
      <w:r>
        <w:rPr>
          <w:rStyle w:val="191"/>
          <w:rFonts w:ascii="Times New Roman" w:hAnsi="Times New Roman"/>
          <w:b/>
          <w:sz w:val="28"/>
          <w:shd w:val="clear" w:color="auto" w:fill="auto"/>
        </w:rPr>
        <w:t>"Основание отчуждения имущества</w:t>
      </w:r>
      <w:r>
        <w:rPr>
          <w:rStyle w:val="191"/>
          <w:rFonts w:ascii="Times New Roman" w:hAnsi="Times New Roman" w:cs="Times New Roman"/>
          <w:b/>
          <w:sz w:val="28"/>
          <w:szCs w:val="28"/>
          <w:shd w:val="clear" w:color="auto" w:fill="auto"/>
        </w:rPr>
        <w:t xml:space="preserve"> (права)"</w:t>
      </w:r>
      <w:r>
        <w:rPr>
          <w:rStyle w:val="191"/>
          <w:rFonts w:ascii="Times New Roman" w:hAnsi="Times New Roman" w:cs="Times New Roman"/>
          <w:sz w:val="28"/>
          <w:szCs w:val="28"/>
          <w:shd w:val="clear" w:color="auto" w:fill="auto"/>
        </w:rPr>
        <w:t xml:space="preserve"> указываются основания прекращения права собственности (наименование и реквизиты (дата, номер) соответствующего договора или акта).</w:t>
      </w:r>
      <w:r>
        <w:rPr>
          <w:rFonts w:ascii="Times New Roman" w:hAnsi="Times New Roman"/>
          <w:sz w:val="28"/>
          <w:szCs w:val="28"/>
        </w:rPr>
        <w:t xml:space="preserve"> </w:t>
      </w:r>
      <w:r>
        <w:rPr>
          <w:rStyle w:val="191"/>
          <w:rFonts w:ascii="Times New Roman" w:hAnsi="Times New Roman" w:cs="Times New Roman"/>
          <w:sz w:val="28"/>
          <w:szCs w:val="28"/>
          <w:shd w:val="clear" w:color="auto" w:fill="auto"/>
        </w:rPr>
        <w:t>Для цифровых финансовых активов, цифровых прав и цифровой валюты также указывается дата их отчуждения.</w:t>
      </w:r>
    </w:p>
    <w:p w14:paraId="49524271">
      <w:pPr>
        <w:pStyle w:val="193"/>
        <w:ind w:left="0"/>
        <w:jc w:val="center"/>
        <w:rPr>
          <w:rStyle w:val="191"/>
          <w:rFonts w:ascii="Times New Roman" w:hAnsi="Times New Roman" w:eastAsia="Times New Roman" w:cs="Times New Roman"/>
          <w:sz w:val="20"/>
          <w:szCs w:val="20"/>
          <w:shd w:val="clear" w:color="auto" w:fill="auto"/>
        </w:rPr>
      </w:pPr>
    </w:p>
    <w:sectPr>
      <w:headerReference r:id="rId3" w:type="default"/>
      <w:pgSz w:w="11906" w:h="16838"/>
      <w:pgMar w:top="1134" w:right="567" w:bottom="1134" w:left="1134" w:header="454" w:footer="709"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Arial">
    <w:panose1 w:val="020B0604020202020204"/>
    <w:charset w:val="CC"/>
    <w:family w:val="swiss"/>
    <w:pitch w:val="default"/>
    <w:sig w:usb0="E0002EFF" w:usb1="C000785B" w:usb2="00000009" w:usb3="00000000" w:csb0="400001FF" w:csb1="FFFF0000"/>
  </w:font>
  <w:font w:name="Courier New">
    <w:panose1 w:val="02070309020205020404"/>
    <w:charset w:val="CC"/>
    <w:family w:val="modern"/>
    <w:pitch w:val="default"/>
    <w:sig w:usb0="E0002EFF" w:usb1="C0007843" w:usb2="00000009" w:usb3="00000000" w:csb0="400001FF" w:csb1="FFFF0000"/>
  </w:font>
  <w:font w:name="Tahoma">
    <w:panose1 w:val="020B0604030504040204"/>
    <w:charset w:val="CC"/>
    <w:family w:val="swiss"/>
    <w:pitch w:val="default"/>
    <w:sig w:usb0="E1002EFF" w:usb1="C000605B" w:usb2="00000029" w:usb3="00000000" w:csb0="200101FF" w:csb1="20280000"/>
  </w:font>
  <w:font w:name="Segoe UI Symbol">
    <w:panose1 w:val="020B0502040204020203"/>
    <w:charset w:val="00"/>
    <w:family w:val="swiss"/>
    <w:pitch w:val="default"/>
    <w:sig w:usb0="800001E3" w:usb1="1200FFEF" w:usb2="00040000" w:usb3="04000000" w:csb0="00000001" w:csb1="4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03EDC">
    <w:pPr>
      <w:pStyle w:val="25"/>
      <w:jc w:val="center"/>
      <w:rPr>
        <w:rFonts w:ascii="Times New Roman" w:hAnsi="Times New Roman" w:eastAsia="Times New Roman"/>
        <w:sz w:val="28"/>
      </w:rPr>
    </w:pPr>
    <w:r>
      <w:fldChar w:fldCharType="begin"/>
    </w:r>
    <w:r>
      <w:instrText xml:space="preserve">PAGE \* MERGEFORMAT</w:instrText>
    </w:r>
    <w:r>
      <w:fldChar w:fldCharType="separate"/>
    </w:r>
    <w:r>
      <w:rPr>
        <w:rFonts w:ascii="Times New Roman" w:hAnsi="Times New Roman" w:eastAsia="Times New Roman"/>
        <w:sz w:val="28"/>
      </w:rPr>
      <w:t>52</w:t>
    </w:r>
    <w:r>
      <w:rPr>
        <w:rFonts w:ascii="Times New Roman" w:hAnsi="Times New Roman" w:eastAsia="Times New Roman"/>
        <w:sz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811D1C"/>
    <w:multiLevelType w:val="multilevel"/>
    <w:tmpl w:val="03811D1C"/>
    <w:lvl w:ilvl="0" w:tentative="0">
      <w:start w:val="1"/>
      <w:numFmt w:val="decimal"/>
      <w:lvlText w:val="%1)"/>
      <w:lvlJc w:val="left"/>
      <w:pPr>
        <w:ind w:left="1429" w:hanging="360"/>
      </w:pPr>
    </w:lvl>
    <w:lvl w:ilvl="1" w:tentative="0">
      <w:start w:val="1"/>
      <w:numFmt w:val="lowerLetter"/>
      <w:lvlText w:val="%2."/>
      <w:lvlJc w:val="left"/>
      <w:pPr>
        <w:ind w:left="2149" w:hanging="360"/>
      </w:pPr>
    </w:lvl>
    <w:lvl w:ilvl="2" w:tentative="0">
      <w:start w:val="1"/>
      <w:numFmt w:val="lowerRoman"/>
      <w:lvlText w:val="%3."/>
      <w:lvlJc w:val="right"/>
      <w:pPr>
        <w:ind w:left="2869" w:hanging="180"/>
      </w:pPr>
    </w:lvl>
    <w:lvl w:ilvl="3" w:tentative="0">
      <w:start w:val="1"/>
      <w:numFmt w:val="decimal"/>
      <w:lvlText w:val="%4."/>
      <w:lvlJc w:val="left"/>
      <w:pPr>
        <w:ind w:left="3589" w:hanging="360"/>
      </w:pPr>
    </w:lvl>
    <w:lvl w:ilvl="4" w:tentative="0">
      <w:start w:val="1"/>
      <w:numFmt w:val="lowerLetter"/>
      <w:lvlText w:val="%5."/>
      <w:lvlJc w:val="left"/>
      <w:pPr>
        <w:ind w:left="4309" w:hanging="360"/>
      </w:pPr>
    </w:lvl>
    <w:lvl w:ilvl="5" w:tentative="0">
      <w:start w:val="1"/>
      <w:numFmt w:val="lowerRoman"/>
      <w:lvlText w:val="%6."/>
      <w:lvlJc w:val="right"/>
      <w:pPr>
        <w:ind w:left="5029" w:hanging="180"/>
      </w:pPr>
    </w:lvl>
    <w:lvl w:ilvl="6" w:tentative="0">
      <w:start w:val="1"/>
      <w:numFmt w:val="decimal"/>
      <w:lvlText w:val="%7."/>
      <w:lvlJc w:val="left"/>
      <w:pPr>
        <w:ind w:left="5749" w:hanging="360"/>
      </w:pPr>
    </w:lvl>
    <w:lvl w:ilvl="7" w:tentative="0">
      <w:start w:val="1"/>
      <w:numFmt w:val="lowerLetter"/>
      <w:lvlText w:val="%8."/>
      <w:lvlJc w:val="left"/>
      <w:pPr>
        <w:ind w:left="6469" w:hanging="360"/>
      </w:pPr>
    </w:lvl>
    <w:lvl w:ilvl="8" w:tentative="0">
      <w:start w:val="1"/>
      <w:numFmt w:val="lowerRoman"/>
      <w:lvlText w:val="%9."/>
      <w:lvlJc w:val="right"/>
      <w:pPr>
        <w:ind w:left="7189" w:hanging="180"/>
      </w:pPr>
    </w:lvl>
  </w:abstractNum>
  <w:abstractNum w:abstractNumId="1">
    <w:nsid w:val="04BA7013"/>
    <w:multiLevelType w:val="multilevel"/>
    <w:tmpl w:val="04BA7013"/>
    <w:lvl w:ilvl="0" w:tentative="0">
      <w:start w:val="1"/>
      <w:numFmt w:val="decimal"/>
      <w:lvlText w:val="%1)"/>
      <w:lvlJc w:val="left"/>
      <w:pPr>
        <w:ind w:left="928" w:hanging="360"/>
      </w:pPr>
    </w:lvl>
    <w:lvl w:ilvl="1" w:tentative="0">
      <w:start w:val="1"/>
      <w:numFmt w:val="lowerLetter"/>
      <w:lvlText w:val="%2."/>
      <w:lvlJc w:val="left"/>
      <w:pPr>
        <w:ind w:left="2265" w:hanging="360"/>
      </w:pPr>
    </w:lvl>
    <w:lvl w:ilvl="2" w:tentative="0">
      <w:start w:val="1"/>
      <w:numFmt w:val="lowerRoman"/>
      <w:lvlText w:val="%3."/>
      <w:lvlJc w:val="right"/>
      <w:pPr>
        <w:ind w:left="2985" w:hanging="180"/>
      </w:pPr>
    </w:lvl>
    <w:lvl w:ilvl="3" w:tentative="0">
      <w:start w:val="1"/>
      <w:numFmt w:val="decimal"/>
      <w:lvlText w:val="%4."/>
      <w:lvlJc w:val="left"/>
      <w:pPr>
        <w:ind w:left="3705" w:hanging="360"/>
      </w:pPr>
    </w:lvl>
    <w:lvl w:ilvl="4" w:tentative="0">
      <w:start w:val="1"/>
      <w:numFmt w:val="lowerLetter"/>
      <w:lvlText w:val="%5."/>
      <w:lvlJc w:val="left"/>
      <w:pPr>
        <w:ind w:left="4425" w:hanging="360"/>
      </w:pPr>
    </w:lvl>
    <w:lvl w:ilvl="5" w:tentative="0">
      <w:start w:val="1"/>
      <w:numFmt w:val="lowerRoman"/>
      <w:lvlText w:val="%6."/>
      <w:lvlJc w:val="right"/>
      <w:pPr>
        <w:ind w:left="5145" w:hanging="180"/>
      </w:pPr>
    </w:lvl>
    <w:lvl w:ilvl="6" w:tentative="0">
      <w:start w:val="1"/>
      <w:numFmt w:val="decimal"/>
      <w:lvlText w:val="%7."/>
      <w:lvlJc w:val="left"/>
      <w:pPr>
        <w:ind w:left="5865" w:hanging="360"/>
      </w:pPr>
    </w:lvl>
    <w:lvl w:ilvl="7" w:tentative="0">
      <w:start w:val="1"/>
      <w:numFmt w:val="lowerLetter"/>
      <w:lvlText w:val="%8."/>
      <w:lvlJc w:val="left"/>
      <w:pPr>
        <w:ind w:left="6585" w:hanging="360"/>
      </w:pPr>
    </w:lvl>
    <w:lvl w:ilvl="8" w:tentative="0">
      <w:start w:val="1"/>
      <w:numFmt w:val="lowerRoman"/>
      <w:lvlText w:val="%9."/>
      <w:lvlJc w:val="right"/>
      <w:pPr>
        <w:ind w:left="7305" w:hanging="180"/>
      </w:pPr>
    </w:lvl>
  </w:abstractNum>
  <w:abstractNum w:abstractNumId="2">
    <w:nsid w:val="18AA57C6"/>
    <w:multiLevelType w:val="multilevel"/>
    <w:tmpl w:val="18AA57C6"/>
    <w:lvl w:ilvl="0" w:tentative="0">
      <w:start w:val="1"/>
      <w:numFmt w:val="decimal"/>
      <w:lvlText w:val="%1)"/>
      <w:lvlJc w:val="left"/>
      <w:pPr>
        <w:ind w:left="1429" w:hanging="360"/>
      </w:pPr>
    </w:lvl>
    <w:lvl w:ilvl="1" w:tentative="0">
      <w:start w:val="1"/>
      <w:numFmt w:val="lowerLetter"/>
      <w:lvlText w:val="%2."/>
      <w:lvlJc w:val="left"/>
      <w:pPr>
        <w:ind w:left="2149" w:hanging="360"/>
      </w:pPr>
    </w:lvl>
    <w:lvl w:ilvl="2" w:tentative="0">
      <w:start w:val="1"/>
      <w:numFmt w:val="lowerRoman"/>
      <w:lvlText w:val="%3."/>
      <w:lvlJc w:val="right"/>
      <w:pPr>
        <w:ind w:left="2869" w:hanging="180"/>
      </w:pPr>
    </w:lvl>
    <w:lvl w:ilvl="3" w:tentative="0">
      <w:start w:val="1"/>
      <w:numFmt w:val="decimal"/>
      <w:lvlText w:val="%4."/>
      <w:lvlJc w:val="left"/>
      <w:pPr>
        <w:ind w:left="3589" w:hanging="360"/>
      </w:pPr>
    </w:lvl>
    <w:lvl w:ilvl="4" w:tentative="0">
      <w:start w:val="1"/>
      <w:numFmt w:val="lowerLetter"/>
      <w:lvlText w:val="%5."/>
      <w:lvlJc w:val="left"/>
      <w:pPr>
        <w:ind w:left="4309" w:hanging="360"/>
      </w:pPr>
    </w:lvl>
    <w:lvl w:ilvl="5" w:tentative="0">
      <w:start w:val="1"/>
      <w:numFmt w:val="lowerRoman"/>
      <w:lvlText w:val="%6."/>
      <w:lvlJc w:val="right"/>
      <w:pPr>
        <w:ind w:left="5029" w:hanging="180"/>
      </w:pPr>
    </w:lvl>
    <w:lvl w:ilvl="6" w:tentative="0">
      <w:start w:val="1"/>
      <w:numFmt w:val="decimal"/>
      <w:lvlText w:val="%7."/>
      <w:lvlJc w:val="left"/>
      <w:pPr>
        <w:ind w:left="5749" w:hanging="360"/>
      </w:pPr>
    </w:lvl>
    <w:lvl w:ilvl="7" w:tentative="0">
      <w:start w:val="1"/>
      <w:numFmt w:val="lowerLetter"/>
      <w:lvlText w:val="%8."/>
      <w:lvlJc w:val="left"/>
      <w:pPr>
        <w:ind w:left="6469" w:hanging="360"/>
      </w:pPr>
    </w:lvl>
    <w:lvl w:ilvl="8" w:tentative="0">
      <w:start w:val="1"/>
      <w:numFmt w:val="lowerRoman"/>
      <w:lvlText w:val="%9."/>
      <w:lvlJc w:val="right"/>
      <w:pPr>
        <w:ind w:left="7189" w:hanging="180"/>
      </w:pPr>
    </w:lvl>
  </w:abstractNum>
  <w:abstractNum w:abstractNumId="3">
    <w:nsid w:val="28C707D6"/>
    <w:multiLevelType w:val="multilevel"/>
    <w:tmpl w:val="28C707D6"/>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3CD31D84"/>
    <w:multiLevelType w:val="multilevel"/>
    <w:tmpl w:val="3CD31D84"/>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45C55CF1"/>
    <w:multiLevelType w:val="multilevel"/>
    <w:tmpl w:val="45C55CF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4DD8252D"/>
    <w:multiLevelType w:val="multilevel"/>
    <w:tmpl w:val="4DD8252D"/>
    <w:lvl w:ilvl="0" w:tentative="0">
      <w:start w:val="1"/>
      <w:numFmt w:val="decimal"/>
      <w:lvlText w:val="%1)"/>
      <w:lvlJc w:val="left"/>
      <w:pPr>
        <w:ind w:left="1429" w:hanging="360"/>
      </w:pPr>
    </w:lvl>
    <w:lvl w:ilvl="1" w:tentative="0">
      <w:start w:val="1"/>
      <w:numFmt w:val="lowerLetter"/>
      <w:lvlText w:val="%2."/>
      <w:lvlJc w:val="left"/>
      <w:pPr>
        <w:ind w:left="2149" w:hanging="360"/>
      </w:pPr>
    </w:lvl>
    <w:lvl w:ilvl="2" w:tentative="0">
      <w:start w:val="1"/>
      <w:numFmt w:val="lowerRoman"/>
      <w:lvlText w:val="%3."/>
      <w:lvlJc w:val="right"/>
      <w:pPr>
        <w:ind w:left="2869" w:hanging="180"/>
      </w:pPr>
    </w:lvl>
    <w:lvl w:ilvl="3" w:tentative="0">
      <w:start w:val="1"/>
      <w:numFmt w:val="decimal"/>
      <w:lvlText w:val="%4."/>
      <w:lvlJc w:val="left"/>
      <w:pPr>
        <w:ind w:left="3589" w:hanging="360"/>
      </w:pPr>
    </w:lvl>
    <w:lvl w:ilvl="4" w:tentative="0">
      <w:start w:val="1"/>
      <w:numFmt w:val="lowerLetter"/>
      <w:lvlText w:val="%5."/>
      <w:lvlJc w:val="left"/>
      <w:pPr>
        <w:ind w:left="4309" w:hanging="360"/>
      </w:pPr>
    </w:lvl>
    <w:lvl w:ilvl="5" w:tentative="0">
      <w:start w:val="1"/>
      <w:numFmt w:val="lowerRoman"/>
      <w:lvlText w:val="%6."/>
      <w:lvlJc w:val="right"/>
      <w:pPr>
        <w:ind w:left="5029" w:hanging="180"/>
      </w:pPr>
    </w:lvl>
    <w:lvl w:ilvl="6" w:tentative="0">
      <w:start w:val="1"/>
      <w:numFmt w:val="decimal"/>
      <w:lvlText w:val="%7."/>
      <w:lvlJc w:val="left"/>
      <w:pPr>
        <w:ind w:left="5749" w:hanging="360"/>
      </w:pPr>
    </w:lvl>
    <w:lvl w:ilvl="7" w:tentative="0">
      <w:start w:val="1"/>
      <w:numFmt w:val="lowerLetter"/>
      <w:lvlText w:val="%8."/>
      <w:lvlJc w:val="left"/>
      <w:pPr>
        <w:ind w:left="6469" w:hanging="360"/>
      </w:pPr>
    </w:lvl>
    <w:lvl w:ilvl="8" w:tentative="0">
      <w:start w:val="1"/>
      <w:numFmt w:val="lowerRoman"/>
      <w:lvlText w:val="%9."/>
      <w:lvlJc w:val="right"/>
      <w:pPr>
        <w:ind w:left="7189" w:hanging="180"/>
      </w:pPr>
    </w:lvl>
  </w:abstractNum>
  <w:abstractNum w:abstractNumId="7">
    <w:nsid w:val="60E756B1"/>
    <w:multiLevelType w:val="multilevel"/>
    <w:tmpl w:val="60E756B1"/>
    <w:lvl w:ilvl="0" w:tentative="0">
      <w:start w:val="1"/>
      <w:numFmt w:val="decimal"/>
      <w:lvlText w:val="%1."/>
      <w:lvlJc w:val="center"/>
      <w:pPr>
        <w:ind w:left="2422" w:hanging="720"/>
      </w:pPr>
      <w:rPr>
        <w:rFonts w:hint="default" w:ascii="Times New Roman" w:hAnsi="Times New Roman" w:cs="Times New Roman"/>
        <w:b w:val="0"/>
        <w:color w:val="auto"/>
        <w:sz w:val="28"/>
        <w:szCs w:val="28"/>
      </w:rPr>
    </w:lvl>
    <w:lvl w:ilvl="1" w:tentative="0">
      <w:start w:val="1"/>
      <w:numFmt w:val="decimal"/>
      <w:lvlText w:val="%2)"/>
      <w:lvlJc w:val="left"/>
      <w:pPr>
        <w:ind w:left="2858" w:hanging="360"/>
      </w:pPr>
    </w:lvl>
    <w:lvl w:ilvl="2" w:tentative="0">
      <w:start w:val="1"/>
      <w:numFmt w:val="lowerRoman"/>
      <w:lvlText w:val="%3."/>
      <w:lvlJc w:val="right"/>
      <w:pPr>
        <w:ind w:left="3578" w:hanging="180"/>
      </w:pPr>
    </w:lvl>
    <w:lvl w:ilvl="3" w:tentative="0">
      <w:start w:val="1"/>
      <w:numFmt w:val="decimal"/>
      <w:lvlText w:val="%4."/>
      <w:lvlJc w:val="left"/>
      <w:pPr>
        <w:ind w:left="4298" w:hanging="360"/>
      </w:pPr>
    </w:lvl>
    <w:lvl w:ilvl="4" w:tentative="0">
      <w:start w:val="1"/>
      <w:numFmt w:val="lowerLetter"/>
      <w:lvlText w:val="%5."/>
      <w:lvlJc w:val="left"/>
      <w:pPr>
        <w:ind w:left="5018" w:hanging="360"/>
      </w:pPr>
    </w:lvl>
    <w:lvl w:ilvl="5" w:tentative="0">
      <w:start w:val="1"/>
      <w:numFmt w:val="lowerRoman"/>
      <w:lvlText w:val="%6."/>
      <w:lvlJc w:val="right"/>
      <w:pPr>
        <w:ind w:left="5738" w:hanging="180"/>
      </w:pPr>
    </w:lvl>
    <w:lvl w:ilvl="6" w:tentative="0">
      <w:start w:val="1"/>
      <w:numFmt w:val="decimal"/>
      <w:lvlText w:val="%7."/>
      <w:lvlJc w:val="left"/>
      <w:pPr>
        <w:ind w:left="6458" w:hanging="360"/>
      </w:pPr>
    </w:lvl>
    <w:lvl w:ilvl="7" w:tentative="0">
      <w:start w:val="1"/>
      <w:numFmt w:val="lowerLetter"/>
      <w:lvlText w:val="%8."/>
      <w:lvlJc w:val="left"/>
      <w:pPr>
        <w:ind w:left="7178" w:hanging="360"/>
      </w:pPr>
    </w:lvl>
    <w:lvl w:ilvl="8" w:tentative="0">
      <w:start w:val="1"/>
      <w:numFmt w:val="lowerRoman"/>
      <w:lvlText w:val="%9."/>
      <w:lvlJc w:val="right"/>
      <w:pPr>
        <w:ind w:left="7898" w:hanging="180"/>
      </w:pPr>
    </w:lvl>
  </w:abstractNum>
  <w:abstractNum w:abstractNumId="8">
    <w:nsid w:val="61276780"/>
    <w:multiLevelType w:val="multilevel"/>
    <w:tmpl w:val="61276780"/>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65B407FC"/>
    <w:multiLevelType w:val="multilevel"/>
    <w:tmpl w:val="65B407FC"/>
    <w:lvl w:ilvl="0" w:tentative="0">
      <w:start w:val="1"/>
      <w:numFmt w:val="decimal"/>
      <w:lvlText w:val="%1)"/>
      <w:lvlJc w:val="left"/>
      <w:pPr>
        <w:ind w:left="1070" w:hanging="360"/>
      </w:pPr>
      <w:rPr>
        <w:rFonts w:hint="default" w:ascii="Times New Roman" w:hAnsi="Times New Roman" w:cs="Times New Roman"/>
        <w:b w:val="0"/>
        <w:sz w:val="28"/>
        <w:szCs w:val="28"/>
      </w:rPr>
    </w:lvl>
    <w:lvl w:ilvl="1" w:tentative="0">
      <w:start w:val="1"/>
      <w:numFmt w:val="lowerLetter"/>
      <w:lvlText w:val="%2."/>
      <w:lvlJc w:val="left"/>
      <w:pPr>
        <w:ind w:left="2291" w:hanging="360"/>
      </w:pPr>
    </w:lvl>
    <w:lvl w:ilvl="2" w:tentative="0">
      <w:start w:val="1"/>
      <w:numFmt w:val="lowerRoman"/>
      <w:lvlText w:val="%3."/>
      <w:lvlJc w:val="right"/>
      <w:pPr>
        <w:ind w:left="3011" w:hanging="180"/>
      </w:pPr>
    </w:lvl>
    <w:lvl w:ilvl="3" w:tentative="0">
      <w:start w:val="1"/>
      <w:numFmt w:val="decimal"/>
      <w:lvlText w:val="%4."/>
      <w:lvlJc w:val="left"/>
      <w:pPr>
        <w:ind w:left="3731" w:hanging="360"/>
      </w:pPr>
    </w:lvl>
    <w:lvl w:ilvl="4" w:tentative="0">
      <w:start w:val="1"/>
      <w:numFmt w:val="lowerLetter"/>
      <w:lvlText w:val="%5."/>
      <w:lvlJc w:val="left"/>
      <w:pPr>
        <w:ind w:left="4451" w:hanging="360"/>
      </w:pPr>
    </w:lvl>
    <w:lvl w:ilvl="5" w:tentative="0">
      <w:start w:val="1"/>
      <w:numFmt w:val="lowerRoman"/>
      <w:lvlText w:val="%6."/>
      <w:lvlJc w:val="right"/>
      <w:pPr>
        <w:ind w:left="5171" w:hanging="180"/>
      </w:pPr>
    </w:lvl>
    <w:lvl w:ilvl="6" w:tentative="0">
      <w:start w:val="1"/>
      <w:numFmt w:val="decimal"/>
      <w:lvlText w:val="%7."/>
      <w:lvlJc w:val="left"/>
      <w:pPr>
        <w:ind w:left="5891" w:hanging="360"/>
      </w:pPr>
    </w:lvl>
    <w:lvl w:ilvl="7" w:tentative="0">
      <w:start w:val="1"/>
      <w:numFmt w:val="lowerLetter"/>
      <w:lvlText w:val="%8."/>
      <w:lvlJc w:val="left"/>
      <w:pPr>
        <w:ind w:left="6611" w:hanging="360"/>
      </w:pPr>
    </w:lvl>
    <w:lvl w:ilvl="8" w:tentative="0">
      <w:start w:val="1"/>
      <w:numFmt w:val="lowerRoman"/>
      <w:lvlText w:val="%9."/>
      <w:lvlJc w:val="right"/>
      <w:pPr>
        <w:ind w:left="7331" w:hanging="180"/>
      </w:pPr>
    </w:lvl>
  </w:abstractNum>
  <w:num w:numId="1">
    <w:abstractNumId w:val="7"/>
  </w:num>
  <w:num w:numId="2">
    <w:abstractNumId w:val="9"/>
  </w:num>
  <w:num w:numId="3">
    <w:abstractNumId w:val="1"/>
  </w:num>
  <w:num w:numId="4">
    <w:abstractNumId w:val="0"/>
  </w:num>
  <w:num w:numId="5">
    <w:abstractNumId w:val="6"/>
  </w:num>
  <w:num w:numId="6">
    <w:abstractNumId w:val="5"/>
  </w:num>
  <w:num w:numId="7">
    <w:abstractNumId w:val="4"/>
  </w:num>
  <w:num w:numId="8">
    <w:abstractNumId w:val="3"/>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762"/>
    <w:rsid w:val="000026A7"/>
    <w:rsid w:val="00002DE7"/>
    <w:rsid w:val="00002EA7"/>
    <w:rsid w:val="00003134"/>
    <w:rsid w:val="00004676"/>
    <w:rsid w:val="000059F2"/>
    <w:rsid w:val="00007ADD"/>
    <w:rsid w:val="00007AE9"/>
    <w:rsid w:val="00010011"/>
    <w:rsid w:val="00010474"/>
    <w:rsid w:val="00012746"/>
    <w:rsid w:val="000201D0"/>
    <w:rsid w:val="000205DB"/>
    <w:rsid w:val="0002080C"/>
    <w:rsid w:val="00020FB5"/>
    <w:rsid w:val="000222E7"/>
    <w:rsid w:val="00024D26"/>
    <w:rsid w:val="00026149"/>
    <w:rsid w:val="00027B5D"/>
    <w:rsid w:val="00030538"/>
    <w:rsid w:val="000315CC"/>
    <w:rsid w:val="000316E6"/>
    <w:rsid w:val="00032299"/>
    <w:rsid w:val="000324A0"/>
    <w:rsid w:val="0003380C"/>
    <w:rsid w:val="000348B4"/>
    <w:rsid w:val="00035D9D"/>
    <w:rsid w:val="000405D1"/>
    <w:rsid w:val="00041000"/>
    <w:rsid w:val="000416F7"/>
    <w:rsid w:val="00042189"/>
    <w:rsid w:val="00046476"/>
    <w:rsid w:val="00047841"/>
    <w:rsid w:val="00047D13"/>
    <w:rsid w:val="000522CE"/>
    <w:rsid w:val="0005236B"/>
    <w:rsid w:val="000525D0"/>
    <w:rsid w:val="0005358D"/>
    <w:rsid w:val="00053CA4"/>
    <w:rsid w:val="00055776"/>
    <w:rsid w:val="000560FB"/>
    <w:rsid w:val="00056998"/>
    <w:rsid w:val="00056B23"/>
    <w:rsid w:val="00057DC4"/>
    <w:rsid w:val="000633FA"/>
    <w:rsid w:val="00063D8F"/>
    <w:rsid w:val="000667B0"/>
    <w:rsid w:val="00066F22"/>
    <w:rsid w:val="000674EB"/>
    <w:rsid w:val="00073598"/>
    <w:rsid w:val="000758F2"/>
    <w:rsid w:val="00080ECF"/>
    <w:rsid w:val="00081FE5"/>
    <w:rsid w:val="00082F3A"/>
    <w:rsid w:val="000833B1"/>
    <w:rsid w:val="00083599"/>
    <w:rsid w:val="00083EBD"/>
    <w:rsid w:val="00086F7B"/>
    <w:rsid w:val="00094279"/>
    <w:rsid w:val="00094884"/>
    <w:rsid w:val="00095561"/>
    <w:rsid w:val="0009579F"/>
    <w:rsid w:val="00095BDF"/>
    <w:rsid w:val="000A0246"/>
    <w:rsid w:val="000A300D"/>
    <w:rsid w:val="000A3121"/>
    <w:rsid w:val="000A33E6"/>
    <w:rsid w:val="000A3E37"/>
    <w:rsid w:val="000A3E4C"/>
    <w:rsid w:val="000A49A6"/>
    <w:rsid w:val="000A4B31"/>
    <w:rsid w:val="000A6560"/>
    <w:rsid w:val="000A687B"/>
    <w:rsid w:val="000A7F4B"/>
    <w:rsid w:val="000B2ABC"/>
    <w:rsid w:val="000B32DF"/>
    <w:rsid w:val="000B40F3"/>
    <w:rsid w:val="000B66E7"/>
    <w:rsid w:val="000C2060"/>
    <w:rsid w:val="000C3063"/>
    <w:rsid w:val="000C3C28"/>
    <w:rsid w:val="000C4F88"/>
    <w:rsid w:val="000C544F"/>
    <w:rsid w:val="000C5E1A"/>
    <w:rsid w:val="000C79D1"/>
    <w:rsid w:val="000D2B94"/>
    <w:rsid w:val="000D2C9E"/>
    <w:rsid w:val="000D3471"/>
    <w:rsid w:val="000D3F8E"/>
    <w:rsid w:val="000D3FD7"/>
    <w:rsid w:val="000D41BC"/>
    <w:rsid w:val="000D475C"/>
    <w:rsid w:val="000D681E"/>
    <w:rsid w:val="000E174E"/>
    <w:rsid w:val="000E36EA"/>
    <w:rsid w:val="000E3702"/>
    <w:rsid w:val="000E6610"/>
    <w:rsid w:val="000F1159"/>
    <w:rsid w:val="000F1245"/>
    <w:rsid w:val="000F1C1A"/>
    <w:rsid w:val="000F3B34"/>
    <w:rsid w:val="000F5E87"/>
    <w:rsid w:val="000F672E"/>
    <w:rsid w:val="00100528"/>
    <w:rsid w:val="00101551"/>
    <w:rsid w:val="0010318D"/>
    <w:rsid w:val="00104876"/>
    <w:rsid w:val="001056A0"/>
    <w:rsid w:val="00106A70"/>
    <w:rsid w:val="00107BE1"/>
    <w:rsid w:val="00107E30"/>
    <w:rsid w:val="001100DF"/>
    <w:rsid w:val="00111910"/>
    <w:rsid w:val="00112C76"/>
    <w:rsid w:val="00114C5B"/>
    <w:rsid w:val="00114C7F"/>
    <w:rsid w:val="00116DCF"/>
    <w:rsid w:val="001201E5"/>
    <w:rsid w:val="0012033D"/>
    <w:rsid w:val="00121B29"/>
    <w:rsid w:val="001225C0"/>
    <w:rsid w:val="00125391"/>
    <w:rsid w:val="0012636F"/>
    <w:rsid w:val="0012716A"/>
    <w:rsid w:val="001275AC"/>
    <w:rsid w:val="0013392F"/>
    <w:rsid w:val="00134E90"/>
    <w:rsid w:val="001351D4"/>
    <w:rsid w:val="00136382"/>
    <w:rsid w:val="001401FB"/>
    <w:rsid w:val="001435C9"/>
    <w:rsid w:val="00144964"/>
    <w:rsid w:val="00144E1E"/>
    <w:rsid w:val="001460F2"/>
    <w:rsid w:val="00146294"/>
    <w:rsid w:val="00146824"/>
    <w:rsid w:val="00147FE3"/>
    <w:rsid w:val="001505B4"/>
    <w:rsid w:val="001522AB"/>
    <w:rsid w:val="0015288F"/>
    <w:rsid w:val="00153993"/>
    <w:rsid w:val="0015424C"/>
    <w:rsid w:val="0015457E"/>
    <w:rsid w:val="00155F1A"/>
    <w:rsid w:val="00155F21"/>
    <w:rsid w:val="00156047"/>
    <w:rsid w:val="001570F3"/>
    <w:rsid w:val="00160DF4"/>
    <w:rsid w:val="00162CA0"/>
    <w:rsid w:val="00166270"/>
    <w:rsid w:val="00166BBE"/>
    <w:rsid w:val="001713EC"/>
    <w:rsid w:val="00171DB2"/>
    <w:rsid w:val="00172106"/>
    <w:rsid w:val="00176F30"/>
    <w:rsid w:val="00177AA2"/>
    <w:rsid w:val="00180F9B"/>
    <w:rsid w:val="001812F5"/>
    <w:rsid w:val="00183750"/>
    <w:rsid w:val="001856E2"/>
    <w:rsid w:val="0018574F"/>
    <w:rsid w:val="00187F29"/>
    <w:rsid w:val="00191144"/>
    <w:rsid w:val="00191350"/>
    <w:rsid w:val="00191460"/>
    <w:rsid w:val="00191A67"/>
    <w:rsid w:val="00191BD1"/>
    <w:rsid w:val="0019299F"/>
    <w:rsid w:val="001937DA"/>
    <w:rsid w:val="00193B6E"/>
    <w:rsid w:val="00193BF3"/>
    <w:rsid w:val="00194759"/>
    <w:rsid w:val="00194A85"/>
    <w:rsid w:val="00194FFB"/>
    <w:rsid w:val="0019562E"/>
    <w:rsid w:val="00195DC9"/>
    <w:rsid w:val="00196E42"/>
    <w:rsid w:val="001A291F"/>
    <w:rsid w:val="001A3881"/>
    <w:rsid w:val="001A52C4"/>
    <w:rsid w:val="001B0357"/>
    <w:rsid w:val="001B1D25"/>
    <w:rsid w:val="001B28CA"/>
    <w:rsid w:val="001B3826"/>
    <w:rsid w:val="001B4660"/>
    <w:rsid w:val="001B5B3F"/>
    <w:rsid w:val="001B61C3"/>
    <w:rsid w:val="001B633E"/>
    <w:rsid w:val="001C3DCB"/>
    <w:rsid w:val="001C58FF"/>
    <w:rsid w:val="001C78FB"/>
    <w:rsid w:val="001D1B57"/>
    <w:rsid w:val="001D2659"/>
    <w:rsid w:val="001D4A3A"/>
    <w:rsid w:val="001D4B11"/>
    <w:rsid w:val="001D53AA"/>
    <w:rsid w:val="001D61A6"/>
    <w:rsid w:val="001D6242"/>
    <w:rsid w:val="001D7612"/>
    <w:rsid w:val="001D7A26"/>
    <w:rsid w:val="001D7BB4"/>
    <w:rsid w:val="001D7E9B"/>
    <w:rsid w:val="001E0217"/>
    <w:rsid w:val="001E0392"/>
    <w:rsid w:val="001E2BCF"/>
    <w:rsid w:val="001E3372"/>
    <w:rsid w:val="001E3B8F"/>
    <w:rsid w:val="001E5EFC"/>
    <w:rsid w:val="001E63D2"/>
    <w:rsid w:val="001F106F"/>
    <w:rsid w:val="001F252D"/>
    <w:rsid w:val="001F4DBC"/>
    <w:rsid w:val="001F531D"/>
    <w:rsid w:val="001F548F"/>
    <w:rsid w:val="001F54E3"/>
    <w:rsid w:val="001F570A"/>
    <w:rsid w:val="001F5942"/>
    <w:rsid w:val="001F78EE"/>
    <w:rsid w:val="001F7B71"/>
    <w:rsid w:val="001F7D85"/>
    <w:rsid w:val="00201B1B"/>
    <w:rsid w:val="00203673"/>
    <w:rsid w:val="00205A80"/>
    <w:rsid w:val="00207D43"/>
    <w:rsid w:val="00212833"/>
    <w:rsid w:val="00214F9D"/>
    <w:rsid w:val="002157D0"/>
    <w:rsid w:val="002173D3"/>
    <w:rsid w:val="0022273E"/>
    <w:rsid w:val="00222B49"/>
    <w:rsid w:val="00224159"/>
    <w:rsid w:val="00226C25"/>
    <w:rsid w:val="0023241C"/>
    <w:rsid w:val="00232F9B"/>
    <w:rsid w:val="00234327"/>
    <w:rsid w:val="00234846"/>
    <w:rsid w:val="00235454"/>
    <w:rsid w:val="00236184"/>
    <w:rsid w:val="002369AD"/>
    <w:rsid w:val="002371D6"/>
    <w:rsid w:val="0023752F"/>
    <w:rsid w:val="0023769F"/>
    <w:rsid w:val="00240588"/>
    <w:rsid w:val="00240AFE"/>
    <w:rsid w:val="00243108"/>
    <w:rsid w:val="002449A6"/>
    <w:rsid w:val="00244FEE"/>
    <w:rsid w:val="00246D59"/>
    <w:rsid w:val="002504BD"/>
    <w:rsid w:val="00250785"/>
    <w:rsid w:val="00251D20"/>
    <w:rsid w:val="00251E71"/>
    <w:rsid w:val="002523F7"/>
    <w:rsid w:val="00253EAD"/>
    <w:rsid w:val="00254EC3"/>
    <w:rsid w:val="00255BD4"/>
    <w:rsid w:val="00256108"/>
    <w:rsid w:val="00260F9E"/>
    <w:rsid w:val="002614A4"/>
    <w:rsid w:val="00261EBF"/>
    <w:rsid w:val="0026279F"/>
    <w:rsid w:val="00263812"/>
    <w:rsid w:val="002644E4"/>
    <w:rsid w:val="0026463F"/>
    <w:rsid w:val="002658FE"/>
    <w:rsid w:val="00272516"/>
    <w:rsid w:val="00272709"/>
    <w:rsid w:val="00272DAF"/>
    <w:rsid w:val="002745B8"/>
    <w:rsid w:val="00276FDF"/>
    <w:rsid w:val="002776B7"/>
    <w:rsid w:val="00282E28"/>
    <w:rsid w:val="002847C8"/>
    <w:rsid w:val="002908B0"/>
    <w:rsid w:val="00290BA3"/>
    <w:rsid w:val="002937E4"/>
    <w:rsid w:val="00293CE9"/>
    <w:rsid w:val="00294F9F"/>
    <w:rsid w:val="0029621C"/>
    <w:rsid w:val="002A084F"/>
    <w:rsid w:val="002A13E3"/>
    <w:rsid w:val="002A14DF"/>
    <w:rsid w:val="002A2688"/>
    <w:rsid w:val="002A2C43"/>
    <w:rsid w:val="002A2D20"/>
    <w:rsid w:val="002A3DED"/>
    <w:rsid w:val="002A4018"/>
    <w:rsid w:val="002A4586"/>
    <w:rsid w:val="002A5041"/>
    <w:rsid w:val="002A5055"/>
    <w:rsid w:val="002A51E4"/>
    <w:rsid w:val="002A738B"/>
    <w:rsid w:val="002B344E"/>
    <w:rsid w:val="002B3EF0"/>
    <w:rsid w:val="002B420C"/>
    <w:rsid w:val="002B4692"/>
    <w:rsid w:val="002B4A34"/>
    <w:rsid w:val="002B5C8F"/>
    <w:rsid w:val="002B6413"/>
    <w:rsid w:val="002B6CB1"/>
    <w:rsid w:val="002B719C"/>
    <w:rsid w:val="002C1552"/>
    <w:rsid w:val="002C2CD8"/>
    <w:rsid w:val="002C74F4"/>
    <w:rsid w:val="002C7B8E"/>
    <w:rsid w:val="002D0D72"/>
    <w:rsid w:val="002D173D"/>
    <w:rsid w:val="002D42E6"/>
    <w:rsid w:val="002D77AC"/>
    <w:rsid w:val="002E0A64"/>
    <w:rsid w:val="002E2AC2"/>
    <w:rsid w:val="002E317A"/>
    <w:rsid w:val="002E3D9A"/>
    <w:rsid w:val="002E484A"/>
    <w:rsid w:val="002E485E"/>
    <w:rsid w:val="002E5FED"/>
    <w:rsid w:val="002E67A6"/>
    <w:rsid w:val="002F04BE"/>
    <w:rsid w:val="002F3898"/>
    <w:rsid w:val="002F3F32"/>
    <w:rsid w:val="002F4E39"/>
    <w:rsid w:val="002F6FFD"/>
    <w:rsid w:val="0030028B"/>
    <w:rsid w:val="00301966"/>
    <w:rsid w:val="003027EB"/>
    <w:rsid w:val="003027F3"/>
    <w:rsid w:val="003033BD"/>
    <w:rsid w:val="00304327"/>
    <w:rsid w:val="0030441B"/>
    <w:rsid w:val="003053A9"/>
    <w:rsid w:val="00305A10"/>
    <w:rsid w:val="003070A2"/>
    <w:rsid w:val="0031159A"/>
    <w:rsid w:val="00312043"/>
    <w:rsid w:val="0031455A"/>
    <w:rsid w:val="003155CF"/>
    <w:rsid w:val="00316876"/>
    <w:rsid w:val="0032053F"/>
    <w:rsid w:val="0032067C"/>
    <w:rsid w:val="0032079C"/>
    <w:rsid w:val="00320AA0"/>
    <w:rsid w:val="003262EE"/>
    <w:rsid w:val="003300BA"/>
    <w:rsid w:val="00330C2F"/>
    <w:rsid w:val="0033160B"/>
    <w:rsid w:val="00331638"/>
    <w:rsid w:val="00332A91"/>
    <w:rsid w:val="0033312B"/>
    <w:rsid w:val="0033422A"/>
    <w:rsid w:val="00334D82"/>
    <w:rsid w:val="00340748"/>
    <w:rsid w:val="00340FAA"/>
    <w:rsid w:val="00341194"/>
    <w:rsid w:val="003428C1"/>
    <w:rsid w:val="00343C09"/>
    <w:rsid w:val="00345AF1"/>
    <w:rsid w:val="00350223"/>
    <w:rsid w:val="00355BD0"/>
    <w:rsid w:val="00356D42"/>
    <w:rsid w:val="003570D8"/>
    <w:rsid w:val="003574AE"/>
    <w:rsid w:val="003605A0"/>
    <w:rsid w:val="00360EA5"/>
    <w:rsid w:val="00361498"/>
    <w:rsid w:val="003624CC"/>
    <w:rsid w:val="003637DE"/>
    <w:rsid w:val="00363DD5"/>
    <w:rsid w:val="003652FF"/>
    <w:rsid w:val="0036730C"/>
    <w:rsid w:val="00367438"/>
    <w:rsid w:val="00367860"/>
    <w:rsid w:val="00370DBF"/>
    <w:rsid w:val="00370E47"/>
    <w:rsid w:val="00372436"/>
    <w:rsid w:val="0037441D"/>
    <w:rsid w:val="00374AA5"/>
    <w:rsid w:val="00375C40"/>
    <w:rsid w:val="00376F9B"/>
    <w:rsid w:val="00377947"/>
    <w:rsid w:val="003810B7"/>
    <w:rsid w:val="00381CEC"/>
    <w:rsid w:val="00381DE5"/>
    <w:rsid w:val="00381FE1"/>
    <w:rsid w:val="00384D55"/>
    <w:rsid w:val="00385013"/>
    <w:rsid w:val="003857B2"/>
    <w:rsid w:val="003858F9"/>
    <w:rsid w:val="00386829"/>
    <w:rsid w:val="00390008"/>
    <w:rsid w:val="00390674"/>
    <w:rsid w:val="00390992"/>
    <w:rsid w:val="00391449"/>
    <w:rsid w:val="003922F2"/>
    <w:rsid w:val="0039281F"/>
    <w:rsid w:val="00392A05"/>
    <w:rsid w:val="003959EE"/>
    <w:rsid w:val="003A4064"/>
    <w:rsid w:val="003A43C2"/>
    <w:rsid w:val="003A5664"/>
    <w:rsid w:val="003A70B9"/>
    <w:rsid w:val="003A71AC"/>
    <w:rsid w:val="003B0213"/>
    <w:rsid w:val="003B218C"/>
    <w:rsid w:val="003B2568"/>
    <w:rsid w:val="003B46D7"/>
    <w:rsid w:val="003B6DAF"/>
    <w:rsid w:val="003C2E0E"/>
    <w:rsid w:val="003C329B"/>
    <w:rsid w:val="003C5F29"/>
    <w:rsid w:val="003C6150"/>
    <w:rsid w:val="003C7271"/>
    <w:rsid w:val="003D146A"/>
    <w:rsid w:val="003D20C3"/>
    <w:rsid w:val="003D227D"/>
    <w:rsid w:val="003D4225"/>
    <w:rsid w:val="003D5522"/>
    <w:rsid w:val="003D5BC8"/>
    <w:rsid w:val="003D676E"/>
    <w:rsid w:val="003D757F"/>
    <w:rsid w:val="003E0A25"/>
    <w:rsid w:val="003E1E26"/>
    <w:rsid w:val="003E2588"/>
    <w:rsid w:val="003E3ED1"/>
    <w:rsid w:val="003E508D"/>
    <w:rsid w:val="003E7A83"/>
    <w:rsid w:val="003E7EAB"/>
    <w:rsid w:val="003F33C6"/>
    <w:rsid w:val="003F3EB7"/>
    <w:rsid w:val="003F6CEA"/>
    <w:rsid w:val="004006C2"/>
    <w:rsid w:val="004007AC"/>
    <w:rsid w:val="00401035"/>
    <w:rsid w:val="00401AA2"/>
    <w:rsid w:val="00402BA1"/>
    <w:rsid w:val="004030E2"/>
    <w:rsid w:val="0040464C"/>
    <w:rsid w:val="00405A0D"/>
    <w:rsid w:val="00406864"/>
    <w:rsid w:val="0040716F"/>
    <w:rsid w:val="00407B12"/>
    <w:rsid w:val="00410D5E"/>
    <w:rsid w:val="00412CFE"/>
    <w:rsid w:val="00413A5D"/>
    <w:rsid w:val="004148F8"/>
    <w:rsid w:val="00417850"/>
    <w:rsid w:val="00417D73"/>
    <w:rsid w:val="004200E9"/>
    <w:rsid w:val="00421C65"/>
    <w:rsid w:val="00424BE1"/>
    <w:rsid w:val="0042558D"/>
    <w:rsid w:val="00426884"/>
    <w:rsid w:val="00426CC8"/>
    <w:rsid w:val="00430BAB"/>
    <w:rsid w:val="00431134"/>
    <w:rsid w:val="00432168"/>
    <w:rsid w:val="00434331"/>
    <w:rsid w:val="0043493D"/>
    <w:rsid w:val="00436A86"/>
    <w:rsid w:val="00442C8E"/>
    <w:rsid w:val="00443436"/>
    <w:rsid w:val="004444A0"/>
    <w:rsid w:val="00444945"/>
    <w:rsid w:val="0044554F"/>
    <w:rsid w:val="00445D70"/>
    <w:rsid w:val="00446212"/>
    <w:rsid w:val="00447E69"/>
    <w:rsid w:val="00450EA9"/>
    <w:rsid w:val="00451D06"/>
    <w:rsid w:val="004532C4"/>
    <w:rsid w:val="0045332E"/>
    <w:rsid w:val="00454D6C"/>
    <w:rsid w:val="00455E77"/>
    <w:rsid w:val="0046088C"/>
    <w:rsid w:val="00460A7E"/>
    <w:rsid w:val="004617A3"/>
    <w:rsid w:val="004619F7"/>
    <w:rsid w:val="004649FF"/>
    <w:rsid w:val="00466CF1"/>
    <w:rsid w:val="00466E69"/>
    <w:rsid w:val="004702A6"/>
    <w:rsid w:val="004707E1"/>
    <w:rsid w:val="00473A34"/>
    <w:rsid w:val="00477A87"/>
    <w:rsid w:val="00484345"/>
    <w:rsid w:val="004844AB"/>
    <w:rsid w:val="00485068"/>
    <w:rsid w:val="00494B74"/>
    <w:rsid w:val="004A0023"/>
    <w:rsid w:val="004A06C9"/>
    <w:rsid w:val="004A29CF"/>
    <w:rsid w:val="004A35A5"/>
    <w:rsid w:val="004A423E"/>
    <w:rsid w:val="004A67F3"/>
    <w:rsid w:val="004A7E52"/>
    <w:rsid w:val="004A7FA7"/>
    <w:rsid w:val="004B0523"/>
    <w:rsid w:val="004B0929"/>
    <w:rsid w:val="004B1BF3"/>
    <w:rsid w:val="004B20B5"/>
    <w:rsid w:val="004B5F02"/>
    <w:rsid w:val="004B637B"/>
    <w:rsid w:val="004B6FE6"/>
    <w:rsid w:val="004C22FB"/>
    <w:rsid w:val="004C4C53"/>
    <w:rsid w:val="004C7499"/>
    <w:rsid w:val="004C789B"/>
    <w:rsid w:val="004D0246"/>
    <w:rsid w:val="004D1E00"/>
    <w:rsid w:val="004D26A7"/>
    <w:rsid w:val="004D26F3"/>
    <w:rsid w:val="004D2B39"/>
    <w:rsid w:val="004D3F69"/>
    <w:rsid w:val="004D42D9"/>
    <w:rsid w:val="004D52E5"/>
    <w:rsid w:val="004D5762"/>
    <w:rsid w:val="004D632D"/>
    <w:rsid w:val="004D6A81"/>
    <w:rsid w:val="004E08C2"/>
    <w:rsid w:val="004E1F0B"/>
    <w:rsid w:val="004E20D4"/>
    <w:rsid w:val="004E2235"/>
    <w:rsid w:val="004E4827"/>
    <w:rsid w:val="004F3220"/>
    <w:rsid w:val="004F4483"/>
    <w:rsid w:val="004F6179"/>
    <w:rsid w:val="0050064A"/>
    <w:rsid w:val="00506319"/>
    <w:rsid w:val="0050644E"/>
    <w:rsid w:val="005069C0"/>
    <w:rsid w:val="00506F94"/>
    <w:rsid w:val="00510942"/>
    <w:rsid w:val="0051390C"/>
    <w:rsid w:val="00513E9A"/>
    <w:rsid w:val="0051509C"/>
    <w:rsid w:val="005155C6"/>
    <w:rsid w:val="00520CCC"/>
    <w:rsid w:val="00521D30"/>
    <w:rsid w:val="00521E43"/>
    <w:rsid w:val="00524E0D"/>
    <w:rsid w:val="00524F1D"/>
    <w:rsid w:val="00524F37"/>
    <w:rsid w:val="005263C1"/>
    <w:rsid w:val="00527285"/>
    <w:rsid w:val="00532D06"/>
    <w:rsid w:val="00534FDC"/>
    <w:rsid w:val="005361C8"/>
    <w:rsid w:val="0053655D"/>
    <w:rsid w:val="0053724A"/>
    <w:rsid w:val="00537A6B"/>
    <w:rsid w:val="0054068A"/>
    <w:rsid w:val="0054660B"/>
    <w:rsid w:val="00550521"/>
    <w:rsid w:val="005509AC"/>
    <w:rsid w:val="005522F0"/>
    <w:rsid w:val="00552B42"/>
    <w:rsid w:val="00553084"/>
    <w:rsid w:val="0055422C"/>
    <w:rsid w:val="00554CCF"/>
    <w:rsid w:val="00554D01"/>
    <w:rsid w:val="00556070"/>
    <w:rsid w:val="00557AD6"/>
    <w:rsid w:val="00563EFB"/>
    <w:rsid w:val="00564C29"/>
    <w:rsid w:val="00564E3B"/>
    <w:rsid w:val="00574CCC"/>
    <w:rsid w:val="005757AF"/>
    <w:rsid w:val="00576B80"/>
    <w:rsid w:val="00576E2E"/>
    <w:rsid w:val="00576E39"/>
    <w:rsid w:val="00580ADD"/>
    <w:rsid w:val="00581120"/>
    <w:rsid w:val="00581A40"/>
    <w:rsid w:val="005820F8"/>
    <w:rsid w:val="00582B4A"/>
    <w:rsid w:val="00582C08"/>
    <w:rsid w:val="00584B74"/>
    <w:rsid w:val="005859B8"/>
    <w:rsid w:val="00590914"/>
    <w:rsid w:val="005925FF"/>
    <w:rsid w:val="00592A5F"/>
    <w:rsid w:val="00592F70"/>
    <w:rsid w:val="0059373B"/>
    <w:rsid w:val="00594871"/>
    <w:rsid w:val="00597CB5"/>
    <w:rsid w:val="005A1EE3"/>
    <w:rsid w:val="005A391B"/>
    <w:rsid w:val="005A4047"/>
    <w:rsid w:val="005A7425"/>
    <w:rsid w:val="005A772D"/>
    <w:rsid w:val="005B04C4"/>
    <w:rsid w:val="005B5021"/>
    <w:rsid w:val="005B6721"/>
    <w:rsid w:val="005C1C7A"/>
    <w:rsid w:val="005C2BC8"/>
    <w:rsid w:val="005C2D78"/>
    <w:rsid w:val="005C4BB0"/>
    <w:rsid w:val="005C4D2F"/>
    <w:rsid w:val="005C53BA"/>
    <w:rsid w:val="005C690C"/>
    <w:rsid w:val="005C6FF6"/>
    <w:rsid w:val="005D1F50"/>
    <w:rsid w:val="005D1F73"/>
    <w:rsid w:val="005D2536"/>
    <w:rsid w:val="005D46CD"/>
    <w:rsid w:val="005D5C0D"/>
    <w:rsid w:val="005D6530"/>
    <w:rsid w:val="005D6AC3"/>
    <w:rsid w:val="005D7BA8"/>
    <w:rsid w:val="005D7D39"/>
    <w:rsid w:val="005E0D49"/>
    <w:rsid w:val="005E107A"/>
    <w:rsid w:val="005E2BDC"/>
    <w:rsid w:val="005E39C5"/>
    <w:rsid w:val="005E51A2"/>
    <w:rsid w:val="005E5A1C"/>
    <w:rsid w:val="005F1201"/>
    <w:rsid w:val="005F28D2"/>
    <w:rsid w:val="005F446F"/>
    <w:rsid w:val="005F50F4"/>
    <w:rsid w:val="005F612B"/>
    <w:rsid w:val="0060013E"/>
    <w:rsid w:val="00600166"/>
    <w:rsid w:val="0060402C"/>
    <w:rsid w:val="0060508A"/>
    <w:rsid w:val="006050B9"/>
    <w:rsid w:val="006068BA"/>
    <w:rsid w:val="00606A84"/>
    <w:rsid w:val="00607A46"/>
    <w:rsid w:val="006102D6"/>
    <w:rsid w:val="00610EEC"/>
    <w:rsid w:val="00612DCB"/>
    <w:rsid w:val="006135B6"/>
    <w:rsid w:val="00614138"/>
    <w:rsid w:val="00614D83"/>
    <w:rsid w:val="0061613B"/>
    <w:rsid w:val="006243D2"/>
    <w:rsid w:val="006251EE"/>
    <w:rsid w:val="00625757"/>
    <w:rsid w:val="006257EC"/>
    <w:rsid w:val="00626095"/>
    <w:rsid w:val="0062659C"/>
    <w:rsid w:val="0062748D"/>
    <w:rsid w:val="0063199D"/>
    <w:rsid w:val="00631B47"/>
    <w:rsid w:val="00631D74"/>
    <w:rsid w:val="00632D06"/>
    <w:rsid w:val="00635A9B"/>
    <w:rsid w:val="00636842"/>
    <w:rsid w:val="00640F95"/>
    <w:rsid w:val="006410AD"/>
    <w:rsid w:val="00642A08"/>
    <w:rsid w:val="00643A0B"/>
    <w:rsid w:val="006441E6"/>
    <w:rsid w:val="00644F9F"/>
    <w:rsid w:val="00646E9D"/>
    <w:rsid w:val="006515A6"/>
    <w:rsid w:val="00652AFA"/>
    <w:rsid w:val="00655C92"/>
    <w:rsid w:val="0066100B"/>
    <w:rsid w:val="0066287C"/>
    <w:rsid w:val="00663043"/>
    <w:rsid w:val="0066560F"/>
    <w:rsid w:val="00666A6C"/>
    <w:rsid w:val="0066761B"/>
    <w:rsid w:val="006700D8"/>
    <w:rsid w:val="0067171A"/>
    <w:rsid w:val="0067633B"/>
    <w:rsid w:val="00677975"/>
    <w:rsid w:val="00677C0D"/>
    <w:rsid w:val="00680391"/>
    <w:rsid w:val="006813E1"/>
    <w:rsid w:val="006815F0"/>
    <w:rsid w:val="00683268"/>
    <w:rsid w:val="00683CA3"/>
    <w:rsid w:val="006848CC"/>
    <w:rsid w:val="00685028"/>
    <w:rsid w:val="006858BC"/>
    <w:rsid w:val="00687C05"/>
    <w:rsid w:val="00691B10"/>
    <w:rsid w:val="006920F6"/>
    <w:rsid w:val="00692BD6"/>
    <w:rsid w:val="006943F9"/>
    <w:rsid w:val="00694AE0"/>
    <w:rsid w:val="00694DA3"/>
    <w:rsid w:val="006A090D"/>
    <w:rsid w:val="006A17A4"/>
    <w:rsid w:val="006A230C"/>
    <w:rsid w:val="006A70D6"/>
    <w:rsid w:val="006A7568"/>
    <w:rsid w:val="006A78A3"/>
    <w:rsid w:val="006B03FA"/>
    <w:rsid w:val="006B0B50"/>
    <w:rsid w:val="006B111B"/>
    <w:rsid w:val="006B3ACB"/>
    <w:rsid w:val="006B4AF1"/>
    <w:rsid w:val="006B64AD"/>
    <w:rsid w:val="006B7C06"/>
    <w:rsid w:val="006C05C1"/>
    <w:rsid w:val="006C0757"/>
    <w:rsid w:val="006C5786"/>
    <w:rsid w:val="006C6217"/>
    <w:rsid w:val="006C6DDB"/>
    <w:rsid w:val="006C78B6"/>
    <w:rsid w:val="006D1141"/>
    <w:rsid w:val="006D2840"/>
    <w:rsid w:val="006D427B"/>
    <w:rsid w:val="006D43C0"/>
    <w:rsid w:val="006D4FC6"/>
    <w:rsid w:val="006D56BF"/>
    <w:rsid w:val="006D633E"/>
    <w:rsid w:val="006D6A52"/>
    <w:rsid w:val="006D6AA5"/>
    <w:rsid w:val="006D6F6F"/>
    <w:rsid w:val="006D7AA2"/>
    <w:rsid w:val="006E05D4"/>
    <w:rsid w:val="006E20A3"/>
    <w:rsid w:val="006E32C0"/>
    <w:rsid w:val="006E3467"/>
    <w:rsid w:val="006E4304"/>
    <w:rsid w:val="006E5114"/>
    <w:rsid w:val="006E63AE"/>
    <w:rsid w:val="006E741B"/>
    <w:rsid w:val="006E792F"/>
    <w:rsid w:val="006F01FA"/>
    <w:rsid w:val="006F0FAD"/>
    <w:rsid w:val="006F157B"/>
    <w:rsid w:val="006F1A68"/>
    <w:rsid w:val="006F4434"/>
    <w:rsid w:val="006F457F"/>
    <w:rsid w:val="006F4DBB"/>
    <w:rsid w:val="006F6368"/>
    <w:rsid w:val="006F668B"/>
    <w:rsid w:val="006F72C4"/>
    <w:rsid w:val="00702CB6"/>
    <w:rsid w:val="0070342F"/>
    <w:rsid w:val="007038E9"/>
    <w:rsid w:val="00703DC0"/>
    <w:rsid w:val="007042B7"/>
    <w:rsid w:val="007062D2"/>
    <w:rsid w:val="007102D4"/>
    <w:rsid w:val="0071447C"/>
    <w:rsid w:val="00715047"/>
    <w:rsid w:val="0071514D"/>
    <w:rsid w:val="00722049"/>
    <w:rsid w:val="00723EF9"/>
    <w:rsid w:val="00725E0A"/>
    <w:rsid w:val="00726BE1"/>
    <w:rsid w:val="0072791C"/>
    <w:rsid w:val="00727F13"/>
    <w:rsid w:val="0073198D"/>
    <w:rsid w:val="0073265D"/>
    <w:rsid w:val="00734219"/>
    <w:rsid w:val="00742D0C"/>
    <w:rsid w:val="00743649"/>
    <w:rsid w:val="00745DED"/>
    <w:rsid w:val="007463C9"/>
    <w:rsid w:val="007464ED"/>
    <w:rsid w:val="007466A1"/>
    <w:rsid w:val="0074798F"/>
    <w:rsid w:val="00747D5F"/>
    <w:rsid w:val="007515BC"/>
    <w:rsid w:val="00751A39"/>
    <w:rsid w:val="007538BB"/>
    <w:rsid w:val="0075424A"/>
    <w:rsid w:val="007573C9"/>
    <w:rsid w:val="00757B9D"/>
    <w:rsid w:val="00757BB0"/>
    <w:rsid w:val="00765AE6"/>
    <w:rsid w:val="00766DAF"/>
    <w:rsid w:val="00766FDE"/>
    <w:rsid w:val="00770831"/>
    <w:rsid w:val="00772448"/>
    <w:rsid w:val="00772F94"/>
    <w:rsid w:val="007758D3"/>
    <w:rsid w:val="00776682"/>
    <w:rsid w:val="00780C1F"/>
    <w:rsid w:val="007812F8"/>
    <w:rsid w:val="007856CC"/>
    <w:rsid w:val="0078642E"/>
    <w:rsid w:val="00787220"/>
    <w:rsid w:val="00790BEF"/>
    <w:rsid w:val="007923EC"/>
    <w:rsid w:val="007925E5"/>
    <w:rsid w:val="00792B26"/>
    <w:rsid w:val="00793F20"/>
    <w:rsid w:val="0079432C"/>
    <w:rsid w:val="00795AC0"/>
    <w:rsid w:val="00795C0E"/>
    <w:rsid w:val="007978EA"/>
    <w:rsid w:val="007A030D"/>
    <w:rsid w:val="007A0FD6"/>
    <w:rsid w:val="007A1B69"/>
    <w:rsid w:val="007A2FF6"/>
    <w:rsid w:val="007A32E4"/>
    <w:rsid w:val="007A4D7C"/>
    <w:rsid w:val="007A6A13"/>
    <w:rsid w:val="007A6D62"/>
    <w:rsid w:val="007B0AB5"/>
    <w:rsid w:val="007B171F"/>
    <w:rsid w:val="007B27C9"/>
    <w:rsid w:val="007B2FB2"/>
    <w:rsid w:val="007B47CD"/>
    <w:rsid w:val="007B534D"/>
    <w:rsid w:val="007B7557"/>
    <w:rsid w:val="007B77DD"/>
    <w:rsid w:val="007C076F"/>
    <w:rsid w:val="007C2739"/>
    <w:rsid w:val="007C2BAF"/>
    <w:rsid w:val="007C35B8"/>
    <w:rsid w:val="007C36CD"/>
    <w:rsid w:val="007C42DA"/>
    <w:rsid w:val="007C52A3"/>
    <w:rsid w:val="007C55C0"/>
    <w:rsid w:val="007D1233"/>
    <w:rsid w:val="007D187B"/>
    <w:rsid w:val="007D2DFA"/>
    <w:rsid w:val="007D3F44"/>
    <w:rsid w:val="007D4197"/>
    <w:rsid w:val="007D6042"/>
    <w:rsid w:val="007D6077"/>
    <w:rsid w:val="007D67D8"/>
    <w:rsid w:val="007D76B7"/>
    <w:rsid w:val="007D7774"/>
    <w:rsid w:val="007E0A61"/>
    <w:rsid w:val="007E365F"/>
    <w:rsid w:val="007E5740"/>
    <w:rsid w:val="007E5808"/>
    <w:rsid w:val="007E68B6"/>
    <w:rsid w:val="007E755A"/>
    <w:rsid w:val="007F035B"/>
    <w:rsid w:val="007F0939"/>
    <w:rsid w:val="007F09D5"/>
    <w:rsid w:val="007F1572"/>
    <w:rsid w:val="007F2AF0"/>
    <w:rsid w:val="007F3696"/>
    <w:rsid w:val="007F53D3"/>
    <w:rsid w:val="007F69F7"/>
    <w:rsid w:val="007F76A8"/>
    <w:rsid w:val="007F7BBC"/>
    <w:rsid w:val="0080279C"/>
    <w:rsid w:val="00802A07"/>
    <w:rsid w:val="00802DA0"/>
    <w:rsid w:val="00802E27"/>
    <w:rsid w:val="00804412"/>
    <w:rsid w:val="00804752"/>
    <w:rsid w:val="0080561B"/>
    <w:rsid w:val="008059A0"/>
    <w:rsid w:val="00806972"/>
    <w:rsid w:val="00806E49"/>
    <w:rsid w:val="00807233"/>
    <w:rsid w:val="00813D4F"/>
    <w:rsid w:val="00816225"/>
    <w:rsid w:val="0081700B"/>
    <w:rsid w:val="00817C32"/>
    <w:rsid w:val="00817F55"/>
    <w:rsid w:val="00820056"/>
    <w:rsid w:val="00821BB6"/>
    <w:rsid w:val="00822085"/>
    <w:rsid w:val="00822141"/>
    <w:rsid w:val="00822B75"/>
    <w:rsid w:val="008234F6"/>
    <w:rsid w:val="008238C4"/>
    <w:rsid w:val="00823A73"/>
    <w:rsid w:val="008240A6"/>
    <w:rsid w:val="00825288"/>
    <w:rsid w:val="00826A1B"/>
    <w:rsid w:val="00826BD3"/>
    <w:rsid w:val="008301C6"/>
    <w:rsid w:val="00830205"/>
    <w:rsid w:val="00832512"/>
    <w:rsid w:val="0083332C"/>
    <w:rsid w:val="00837436"/>
    <w:rsid w:val="008425A4"/>
    <w:rsid w:val="0084283F"/>
    <w:rsid w:val="008429D9"/>
    <w:rsid w:val="00843E80"/>
    <w:rsid w:val="00844CBD"/>
    <w:rsid w:val="00844F39"/>
    <w:rsid w:val="00844FEE"/>
    <w:rsid w:val="00845937"/>
    <w:rsid w:val="00845D32"/>
    <w:rsid w:val="008460DF"/>
    <w:rsid w:val="00847AF8"/>
    <w:rsid w:val="008502EA"/>
    <w:rsid w:val="00853182"/>
    <w:rsid w:val="00854200"/>
    <w:rsid w:val="00855C85"/>
    <w:rsid w:val="0085649D"/>
    <w:rsid w:val="008621DE"/>
    <w:rsid w:val="0086262F"/>
    <w:rsid w:val="00862AAD"/>
    <w:rsid w:val="00863C93"/>
    <w:rsid w:val="00865381"/>
    <w:rsid w:val="00866D7E"/>
    <w:rsid w:val="00867C9C"/>
    <w:rsid w:val="00870D5B"/>
    <w:rsid w:val="0087256C"/>
    <w:rsid w:val="0087604A"/>
    <w:rsid w:val="0088001C"/>
    <w:rsid w:val="00880043"/>
    <w:rsid w:val="00880909"/>
    <w:rsid w:val="00880926"/>
    <w:rsid w:val="00885CBA"/>
    <w:rsid w:val="00887F4B"/>
    <w:rsid w:val="00890A47"/>
    <w:rsid w:val="00891356"/>
    <w:rsid w:val="00891386"/>
    <w:rsid w:val="00891868"/>
    <w:rsid w:val="00891BAB"/>
    <w:rsid w:val="00891BF8"/>
    <w:rsid w:val="00891D68"/>
    <w:rsid w:val="00891EC4"/>
    <w:rsid w:val="008924CD"/>
    <w:rsid w:val="0089253F"/>
    <w:rsid w:val="0089369C"/>
    <w:rsid w:val="008956FA"/>
    <w:rsid w:val="0089631F"/>
    <w:rsid w:val="0089642A"/>
    <w:rsid w:val="00896F09"/>
    <w:rsid w:val="008971CD"/>
    <w:rsid w:val="00897419"/>
    <w:rsid w:val="008A389F"/>
    <w:rsid w:val="008A39B7"/>
    <w:rsid w:val="008A4B1B"/>
    <w:rsid w:val="008A634F"/>
    <w:rsid w:val="008A6A42"/>
    <w:rsid w:val="008A6BB6"/>
    <w:rsid w:val="008A761A"/>
    <w:rsid w:val="008B0C62"/>
    <w:rsid w:val="008B22C2"/>
    <w:rsid w:val="008B315A"/>
    <w:rsid w:val="008B387A"/>
    <w:rsid w:val="008B3C2E"/>
    <w:rsid w:val="008B61DB"/>
    <w:rsid w:val="008B69F5"/>
    <w:rsid w:val="008B6F9B"/>
    <w:rsid w:val="008B7C59"/>
    <w:rsid w:val="008B7E28"/>
    <w:rsid w:val="008C14FF"/>
    <w:rsid w:val="008C1F84"/>
    <w:rsid w:val="008C2E4B"/>
    <w:rsid w:val="008C2EF2"/>
    <w:rsid w:val="008C3391"/>
    <w:rsid w:val="008C4E64"/>
    <w:rsid w:val="008C4FB2"/>
    <w:rsid w:val="008C7DE2"/>
    <w:rsid w:val="008D1E98"/>
    <w:rsid w:val="008D2581"/>
    <w:rsid w:val="008D350E"/>
    <w:rsid w:val="008D3FD1"/>
    <w:rsid w:val="008D6F41"/>
    <w:rsid w:val="008D7A9F"/>
    <w:rsid w:val="008E08A9"/>
    <w:rsid w:val="008E1D3D"/>
    <w:rsid w:val="008E202D"/>
    <w:rsid w:val="008E2195"/>
    <w:rsid w:val="008E25DD"/>
    <w:rsid w:val="008E25E1"/>
    <w:rsid w:val="008E2BD0"/>
    <w:rsid w:val="008E5347"/>
    <w:rsid w:val="008E5502"/>
    <w:rsid w:val="008E556F"/>
    <w:rsid w:val="008E5695"/>
    <w:rsid w:val="008E6634"/>
    <w:rsid w:val="008E6B07"/>
    <w:rsid w:val="008E6C50"/>
    <w:rsid w:val="008F05FB"/>
    <w:rsid w:val="008F268C"/>
    <w:rsid w:val="009029FF"/>
    <w:rsid w:val="009039B4"/>
    <w:rsid w:val="00904B64"/>
    <w:rsid w:val="00904F3B"/>
    <w:rsid w:val="00906B3D"/>
    <w:rsid w:val="0091227E"/>
    <w:rsid w:val="009161B9"/>
    <w:rsid w:val="00916FA6"/>
    <w:rsid w:val="0092160B"/>
    <w:rsid w:val="00923305"/>
    <w:rsid w:val="00923962"/>
    <w:rsid w:val="00924928"/>
    <w:rsid w:val="00926985"/>
    <w:rsid w:val="009277D7"/>
    <w:rsid w:val="00927C4D"/>
    <w:rsid w:val="0093083E"/>
    <w:rsid w:val="009316ED"/>
    <w:rsid w:val="00932B19"/>
    <w:rsid w:val="00932C7B"/>
    <w:rsid w:val="00936FBD"/>
    <w:rsid w:val="00937197"/>
    <w:rsid w:val="00943D6F"/>
    <w:rsid w:val="00943E8B"/>
    <w:rsid w:val="009449D1"/>
    <w:rsid w:val="00945AD8"/>
    <w:rsid w:val="00946DAB"/>
    <w:rsid w:val="0094746A"/>
    <w:rsid w:val="009506B1"/>
    <w:rsid w:val="00952024"/>
    <w:rsid w:val="00952675"/>
    <w:rsid w:val="00953DA9"/>
    <w:rsid w:val="0095434F"/>
    <w:rsid w:val="00955AAE"/>
    <w:rsid w:val="00955CF0"/>
    <w:rsid w:val="009637CB"/>
    <w:rsid w:val="009640C7"/>
    <w:rsid w:val="009640DB"/>
    <w:rsid w:val="00964730"/>
    <w:rsid w:val="00964E64"/>
    <w:rsid w:val="00964F53"/>
    <w:rsid w:val="00965041"/>
    <w:rsid w:val="00965C7E"/>
    <w:rsid w:val="009660C6"/>
    <w:rsid w:val="009664F3"/>
    <w:rsid w:val="00966D98"/>
    <w:rsid w:val="00970EC8"/>
    <w:rsid w:val="00970EF1"/>
    <w:rsid w:val="00971994"/>
    <w:rsid w:val="009719CB"/>
    <w:rsid w:val="00971A62"/>
    <w:rsid w:val="00971BC4"/>
    <w:rsid w:val="00972A65"/>
    <w:rsid w:val="00973C16"/>
    <w:rsid w:val="009743A9"/>
    <w:rsid w:val="0097487E"/>
    <w:rsid w:val="009761C9"/>
    <w:rsid w:val="00980B9C"/>
    <w:rsid w:val="00981C08"/>
    <w:rsid w:val="00981C37"/>
    <w:rsid w:val="00983EDB"/>
    <w:rsid w:val="00984868"/>
    <w:rsid w:val="00984E05"/>
    <w:rsid w:val="00987C58"/>
    <w:rsid w:val="0099045E"/>
    <w:rsid w:val="009942C9"/>
    <w:rsid w:val="0099482F"/>
    <w:rsid w:val="00994F62"/>
    <w:rsid w:val="009A072B"/>
    <w:rsid w:val="009A1A16"/>
    <w:rsid w:val="009A44F7"/>
    <w:rsid w:val="009A4BF4"/>
    <w:rsid w:val="009A57AD"/>
    <w:rsid w:val="009A733A"/>
    <w:rsid w:val="009A7E19"/>
    <w:rsid w:val="009B2A1B"/>
    <w:rsid w:val="009B2BE3"/>
    <w:rsid w:val="009B7493"/>
    <w:rsid w:val="009B7C20"/>
    <w:rsid w:val="009C0C82"/>
    <w:rsid w:val="009C0DA9"/>
    <w:rsid w:val="009C26CC"/>
    <w:rsid w:val="009C3400"/>
    <w:rsid w:val="009C475B"/>
    <w:rsid w:val="009C4AED"/>
    <w:rsid w:val="009C7292"/>
    <w:rsid w:val="009D1D09"/>
    <w:rsid w:val="009D25F3"/>
    <w:rsid w:val="009E00B1"/>
    <w:rsid w:val="009E1384"/>
    <w:rsid w:val="009E26D2"/>
    <w:rsid w:val="009E2B2D"/>
    <w:rsid w:val="009E32DE"/>
    <w:rsid w:val="009E3FAA"/>
    <w:rsid w:val="009E4BD5"/>
    <w:rsid w:val="009E75AF"/>
    <w:rsid w:val="009F13DC"/>
    <w:rsid w:val="009F270B"/>
    <w:rsid w:val="009F5820"/>
    <w:rsid w:val="009F6DEF"/>
    <w:rsid w:val="009F7FD2"/>
    <w:rsid w:val="00A000AB"/>
    <w:rsid w:val="00A01564"/>
    <w:rsid w:val="00A04FB6"/>
    <w:rsid w:val="00A05276"/>
    <w:rsid w:val="00A11BD5"/>
    <w:rsid w:val="00A12075"/>
    <w:rsid w:val="00A158D7"/>
    <w:rsid w:val="00A164EE"/>
    <w:rsid w:val="00A16BDC"/>
    <w:rsid w:val="00A20FE4"/>
    <w:rsid w:val="00A2150F"/>
    <w:rsid w:val="00A22513"/>
    <w:rsid w:val="00A22660"/>
    <w:rsid w:val="00A234C3"/>
    <w:rsid w:val="00A23D7D"/>
    <w:rsid w:val="00A245D0"/>
    <w:rsid w:val="00A25761"/>
    <w:rsid w:val="00A2590B"/>
    <w:rsid w:val="00A269F7"/>
    <w:rsid w:val="00A26D85"/>
    <w:rsid w:val="00A33701"/>
    <w:rsid w:val="00A33731"/>
    <w:rsid w:val="00A3534F"/>
    <w:rsid w:val="00A35670"/>
    <w:rsid w:val="00A35DCF"/>
    <w:rsid w:val="00A3719B"/>
    <w:rsid w:val="00A404C3"/>
    <w:rsid w:val="00A42D4A"/>
    <w:rsid w:val="00A4408D"/>
    <w:rsid w:val="00A45BF9"/>
    <w:rsid w:val="00A4709D"/>
    <w:rsid w:val="00A50280"/>
    <w:rsid w:val="00A52AEA"/>
    <w:rsid w:val="00A535ED"/>
    <w:rsid w:val="00A54B1C"/>
    <w:rsid w:val="00A56873"/>
    <w:rsid w:val="00A56F7B"/>
    <w:rsid w:val="00A607DB"/>
    <w:rsid w:val="00A628CD"/>
    <w:rsid w:val="00A672B9"/>
    <w:rsid w:val="00A674B7"/>
    <w:rsid w:val="00A67E99"/>
    <w:rsid w:val="00A71B35"/>
    <w:rsid w:val="00A73A56"/>
    <w:rsid w:val="00A73EF2"/>
    <w:rsid w:val="00A76F95"/>
    <w:rsid w:val="00A803C7"/>
    <w:rsid w:val="00A81276"/>
    <w:rsid w:val="00A8156C"/>
    <w:rsid w:val="00A81B2F"/>
    <w:rsid w:val="00A81B69"/>
    <w:rsid w:val="00A82C7A"/>
    <w:rsid w:val="00A82E09"/>
    <w:rsid w:val="00A83D2C"/>
    <w:rsid w:val="00A84D31"/>
    <w:rsid w:val="00A84D76"/>
    <w:rsid w:val="00A85962"/>
    <w:rsid w:val="00A86A84"/>
    <w:rsid w:val="00A9050F"/>
    <w:rsid w:val="00A91C52"/>
    <w:rsid w:val="00A92BE9"/>
    <w:rsid w:val="00A93DD2"/>
    <w:rsid w:val="00A96D4E"/>
    <w:rsid w:val="00AA1242"/>
    <w:rsid w:val="00AA1EC8"/>
    <w:rsid w:val="00AA3C83"/>
    <w:rsid w:val="00AA51FA"/>
    <w:rsid w:val="00AA75BB"/>
    <w:rsid w:val="00AA78F2"/>
    <w:rsid w:val="00AB0A9C"/>
    <w:rsid w:val="00AB0C94"/>
    <w:rsid w:val="00AB1350"/>
    <w:rsid w:val="00AB1706"/>
    <w:rsid w:val="00AB2D19"/>
    <w:rsid w:val="00AB4B42"/>
    <w:rsid w:val="00AC0C1B"/>
    <w:rsid w:val="00AC2701"/>
    <w:rsid w:val="00AD2D68"/>
    <w:rsid w:val="00AD3536"/>
    <w:rsid w:val="00AD3CCE"/>
    <w:rsid w:val="00AD482E"/>
    <w:rsid w:val="00AD75B1"/>
    <w:rsid w:val="00AE0B54"/>
    <w:rsid w:val="00AE22A7"/>
    <w:rsid w:val="00AE4508"/>
    <w:rsid w:val="00AE4820"/>
    <w:rsid w:val="00AE4E37"/>
    <w:rsid w:val="00AE5B1E"/>
    <w:rsid w:val="00AF1548"/>
    <w:rsid w:val="00AF1996"/>
    <w:rsid w:val="00AF2CE9"/>
    <w:rsid w:val="00AF2D46"/>
    <w:rsid w:val="00AF318E"/>
    <w:rsid w:val="00AF329F"/>
    <w:rsid w:val="00AF5DE7"/>
    <w:rsid w:val="00B00475"/>
    <w:rsid w:val="00B02EBA"/>
    <w:rsid w:val="00B0452B"/>
    <w:rsid w:val="00B04DDF"/>
    <w:rsid w:val="00B0678F"/>
    <w:rsid w:val="00B101E1"/>
    <w:rsid w:val="00B10A3D"/>
    <w:rsid w:val="00B115BD"/>
    <w:rsid w:val="00B11686"/>
    <w:rsid w:val="00B12194"/>
    <w:rsid w:val="00B131EF"/>
    <w:rsid w:val="00B13F34"/>
    <w:rsid w:val="00B14203"/>
    <w:rsid w:val="00B14C95"/>
    <w:rsid w:val="00B1593E"/>
    <w:rsid w:val="00B203EA"/>
    <w:rsid w:val="00B205C0"/>
    <w:rsid w:val="00B21B49"/>
    <w:rsid w:val="00B22F77"/>
    <w:rsid w:val="00B252FD"/>
    <w:rsid w:val="00B25B08"/>
    <w:rsid w:val="00B3177D"/>
    <w:rsid w:val="00B329CD"/>
    <w:rsid w:val="00B35F1E"/>
    <w:rsid w:val="00B3746E"/>
    <w:rsid w:val="00B37C10"/>
    <w:rsid w:val="00B40705"/>
    <w:rsid w:val="00B43067"/>
    <w:rsid w:val="00B436EC"/>
    <w:rsid w:val="00B43BA6"/>
    <w:rsid w:val="00B43C32"/>
    <w:rsid w:val="00B503F0"/>
    <w:rsid w:val="00B50DD6"/>
    <w:rsid w:val="00B50EEE"/>
    <w:rsid w:val="00B51363"/>
    <w:rsid w:val="00B519F5"/>
    <w:rsid w:val="00B537CA"/>
    <w:rsid w:val="00B556D9"/>
    <w:rsid w:val="00B55C44"/>
    <w:rsid w:val="00B56514"/>
    <w:rsid w:val="00B6055B"/>
    <w:rsid w:val="00B60CD4"/>
    <w:rsid w:val="00B63996"/>
    <w:rsid w:val="00B648D8"/>
    <w:rsid w:val="00B66560"/>
    <w:rsid w:val="00B70E60"/>
    <w:rsid w:val="00B7322E"/>
    <w:rsid w:val="00B741AA"/>
    <w:rsid w:val="00B77F39"/>
    <w:rsid w:val="00B87718"/>
    <w:rsid w:val="00B91373"/>
    <w:rsid w:val="00B914F8"/>
    <w:rsid w:val="00B95D54"/>
    <w:rsid w:val="00B96BC7"/>
    <w:rsid w:val="00BA29CE"/>
    <w:rsid w:val="00BA3E6D"/>
    <w:rsid w:val="00BA5C86"/>
    <w:rsid w:val="00BA5FF4"/>
    <w:rsid w:val="00BB0CC5"/>
    <w:rsid w:val="00BB0FF1"/>
    <w:rsid w:val="00BB11BC"/>
    <w:rsid w:val="00BB15AF"/>
    <w:rsid w:val="00BB3CA6"/>
    <w:rsid w:val="00BB43C4"/>
    <w:rsid w:val="00BB6937"/>
    <w:rsid w:val="00BB6F00"/>
    <w:rsid w:val="00BB7C7E"/>
    <w:rsid w:val="00BC0F91"/>
    <w:rsid w:val="00BC2092"/>
    <w:rsid w:val="00BC2436"/>
    <w:rsid w:val="00BC492E"/>
    <w:rsid w:val="00BC49D5"/>
    <w:rsid w:val="00BC5758"/>
    <w:rsid w:val="00BD06E2"/>
    <w:rsid w:val="00BD2A75"/>
    <w:rsid w:val="00BD2CF0"/>
    <w:rsid w:val="00BD49AA"/>
    <w:rsid w:val="00BD5271"/>
    <w:rsid w:val="00BD5329"/>
    <w:rsid w:val="00BD6E55"/>
    <w:rsid w:val="00BD77F0"/>
    <w:rsid w:val="00BD7C4A"/>
    <w:rsid w:val="00BE1477"/>
    <w:rsid w:val="00BE2BF4"/>
    <w:rsid w:val="00BE4963"/>
    <w:rsid w:val="00BE61C6"/>
    <w:rsid w:val="00BE7FAF"/>
    <w:rsid w:val="00BF0245"/>
    <w:rsid w:val="00BF1880"/>
    <w:rsid w:val="00BF6E3E"/>
    <w:rsid w:val="00BF7BD1"/>
    <w:rsid w:val="00C00C03"/>
    <w:rsid w:val="00C02926"/>
    <w:rsid w:val="00C1012B"/>
    <w:rsid w:val="00C109EF"/>
    <w:rsid w:val="00C11BB0"/>
    <w:rsid w:val="00C127F8"/>
    <w:rsid w:val="00C1567F"/>
    <w:rsid w:val="00C15E51"/>
    <w:rsid w:val="00C163CB"/>
    <w:rsid w:val="00C20FFC"/>
    <w:rsid w:val="00C224B3"/>
    <w:rsid w:val="00C23409"/>
    <w:rsid w:val="00C2373B"/>
    <w:rsid w:val="00C24419"/>
    <w:rsid w:val="00C275A9"/>
    <w:rsid w:val="00C30AD7"/>
    <w:rsid w:val="00C33DCD"/>
    <w:rsid w:val="00C36413"/>
    <w:rsid w:val="00C37DC2"/>
    <w:rsid w:val="00C415D9"/>
    <w:rsid w:val="00C41B62"/>
    <w:rsid w:val="00C42595"/>
    <w:rsid w:val="00C4266B"/>
    <w:rsid w:val="00C430B8"/>
    <w:rsid w:val="00C47595"/>
    <w:rsid w:val="00C47AC3"/>
    <w:rsid w:val="00C51228"/>
    <w:rsid w:val="00C55CAF"/>
    <w:rsid w:val="00C55F8E"/>
    <w:rsid w:val="00C611BF"/>
    <w:rsid w:val="00C621E4"/>
    <w:rsid w:val="00C62F17"/>
    <w:rsid w:val="00C64666"/>
    <w:rsid w:val="00C67071"/>
    <w:rsid w:val="00C70D29"/>
    <w:rsid w:val="00C73EBE"/>
    <w:rsid w:val="00C74790"/>
    <w:rsid w:val="00C74A9A"/>
    <w:rsid w:val="00C75025"/>
    <w:rsid w:val="00C755CD"/>
    <w:rsid w:val="00C75FF6"/>
    <w:rsid w:val="00C77308"/>
    <w:rsid w:val="00C7796D"/>
    <w:rsid w:val="00C84829"/>
    <w:rsid w:val="00C854FC"/>
    <w:rsid w:val="00C85933"/>
    <w:rsid w:val="00C85D32"/>
    <w:rsid w:val="00C861BE"/>
    <w:rsid w:val="00C93C2B"/>
    <w:rsid w:val="00C93F0C"/>
    <w:rsid w:val="00C94132"/>
    <w:rsid w:val="00C9548A"/>
    <w:rsid w:val="00CA00B4"/>
    <w:rsid w:val="00CA4F8E"/>
    <w:rsid w:val="00CA65EE"/>
    <w:rsid w:val="00CA6E8C"/>
    <w:rsid w:val="00CA7B7A"/>
    <w:rsid w:val="00CB2C39"/>
    <w:rsid w:val="00CB2D3C"/>
    <w:rsid w:val="00CB3350"/>
    <w:rsid w:val="00CB40A0"/>
    <w:rsid w:val="00CB4160"/>
    <w:rsid w:val="00CB451C"/>
    <w:rsid w:val="00CB5D45"/>
    <w:rsid w:val="00CB5E06"/>
    <w:rsid w:val="00CB6DD4"/>
    <w:rsid w:val="00CB7276"/>
    <w:rsid w:val="00CB7B0E"/>
    <w:rsid w:val="00CC1BDA"/>
    <w:rsid w:val="00CC5A5A"/>
    <w:rsid w:val="00CC5BA1"/>
    <w:rsid w:val="00CC779E"/>
    <w:rsid w:val="00CD0536"/>
    <w:rsid w:val="00CE034A"/>
    <w:rsid w:val="00CE09CA"/>
    <w:rsid w:val="00CE12FD"/>
    <w:rsid w:val="00CE2159"/>
    <w:rsid w:val="00CE4F3B"/>
    <w:rsid w:val="00CE59E9"/>
    <w:rsid w:val="00CE78DC"/>
    <w:rsid w:val="00CE7B0F"/>
    <w:rsid w:val="00CF0B43"/>
    <w:rsid w:val="00CF125C"/>
    <w:rsid w:val="00CF22F2"/>
    <w:rsid w:val="00CF518B"/>
    <w:rsid w:val="00CF6F6B"/>
    <w:rsid w:val="00CF7365"/>
    <w:rsid w:val="00CF7A94"/>
    <w:rsid w:val="00D0057F"/>
    <w:rsid w:val="00D01274"/>
    <w:rsid w:val="00D01329"/>
    <w:rsid w:val="00D01F6E"/>
    <w:rsid w:val="00D02478"/>
    <w:rsid w:val="00D02CA3"/>
    <w:rsid w:val="00D030AB"/>
    <w:rsid w:val="00D0467F"/>
    <w:rsid w:val="00D05302"/>
    <w:rsid w:val="00D0629F"/>
    <w:rsid w:val="00D12783"/>
    <w:rsid w:val="00D141BF"/>
    <w:rsid w:val="00D16387"/>
    <w:rsid w:val="00D16630"/>
    <w:rsid w:val="00D243FA"/>
    <w:rsid w:val="00D2594E"/>
    <w:rsid w:val="00D311CE"/>
    <w:rsid w:val="00D312A9"/>
    <w:rsid w:val="00D3300B"/>
    <w:rsid w:val="00D334F9"/>
    <w:rsid w:val="00D35FF7"/>
    <w:rsid w:val="00D3622C"/>
    <w:rsid w:val="00D36D5A"/>
    <w:rsid w:val="00D428FD"/>
    <w:rsid w:val="00D42A36"/>
    <w:rsid w:val="00D43E03"/>
    <w:rsid w:val="00D44347"/>
    <w:rsid w:val="00D450E9"/>
    <w:rsid w:val="00D46754"/>
    <w:rsid w:val="00D46869"/>
    <w:rsid w:val="00D477F9"/>
    <w:rsid w:val="00D51788"/>
    <w:rsid w:val="00D51A68"/>
    <w:rsid w:val="00D529F4"/>
    <w:rsid w:val="00D53FA3"/>
    <w:rsid w:val="00D54B57"/>
    <w:rsid w:val="00D55E55"/>
    <w:rsid w:val="00D57316"/>
    <w:rsid w:val="00D60E82"/>
    <w:rsid w:val="00D625E5"/>
    <w:rsid w:val="00D641AE"/>
    <w:rsid w:val="00D65381"/>
    <w:rsid w:val="00D65CE1"/>
    <w:rsid w:val="00D663B0"/>
    <w:rsid w:val="00D67FC1"/>
    <w:rsid w:val="00D7163E"/>
    <w:rsid w:val="00D80A38"/>
    <w:rsid w:val="00D813DB"/>
    <w:rsid w:val="00D84A1A"/>
    <w:rsid w:val="00D85ED6"/>
    <w:rsid w:val="00D8621F"/>
    <w:rsid w:val="00D869AF"/>
    <w:rsid w:val="00D86DE1"/>
    <w:rsid w:val="00D87974"/>
    <w:rsid w:val="00D90F94"/>
    <w:rsid w:val="00D9167D"/>
    <w:rsid w:val="00D922AD"/>
    <w:rsid w:val="00D92539"/>
    <w:rsid w:val="00D9271F"/>
    <w:rsid w:val="00D96BC3"/>
    <w:rsid w:val="00D96FD9"/>
    <w:rsid w:val="00DA041D"/>
    <w:rsid w:val="00DA0EAD"/>
    <w:rsid w:val="00DA501E"/>
    <w:rsid w:val="00DA5E1F"/>
    <w:rsid w:val="00DB0662"/>
    <w:rsid w:val="00DB3761"/>
    <w:rsid w:val="00DB4CDE"/>
    <w:rsid w:val="00DB4FFB"/>
    <w:rsid w:val="00DB5149"/>
    <w:rsid w:val="00DB5C40"/>
    <w:rsid w:val="00DB60B2"/>
    <w:rsid w:val="00DB6181"/>
    <w:rsid w:val="00DB6232"/>
    <w:rsid w:val="00DB6803"/>
    <w:rsid w:val="00DC1B75"/>
    <w:rsid w:val="00DC2008"/>
    <w:rsid w:val="00DC4F8C"/>
    <w:rsid w:val="00DC6E0C"/>
    <w:rsid w:val="00DD053B"/>
    <w:rsid w:val="00DD0E2C"/>
    <w:rsid w:val="00DD14E1"/>
    <w:rsid w:val="00DD2454"/>
    <w:rsid w:val="00DD28FB"/>
    <w:rsid w:val="00DD614B"/>
    <w:rsid w:val="00DE10FB"/>
    <w:rsid w:val="00DE307C"/>
    <w:rsid w:val="00DE3C29"/>
    <w:rsid w:val="00DE4A93"/>
    <w:rsid w:val="00DE5C4B"/>
    <w:rsid w:val="00DE7B36"/>
    <w:rsid w:val="00DF06A1"/>
    <w:rsid w:val="00DF2E05"/>
    <w:rsid w:val="00DF3BFF"/>
    <w:rsid w:val="00DF4750"/>
    <w:rsid w:val="00DF483C"/>
    <w:rsid w:val="00DF611D"/>
    <w:rsid w:val="00DF6388"/>
    <w:rsid w:val="00DF6766"/>
    <w:rsid w:val="00DF68A8"/>
    <w:rsid w:val="00DF6C8B"/>
    <w:rsid w:val="00E0007B"/>
    <w:rsid w:val="00E0109E"/>
    <w:rsid w:val="00E024B9"/>
    <w:rsid w:val="00E032DD"/>
    <w:rsid w:val="00E04532"/>
    <w:rsid w:val="00E06C82"/>
    <w:rsid w:val="00E07DA1"/>
    <w:rsid w:val="00E10B55"/>
    <w:rsid w:val="00E13F89"/>
    <w:rsid w:val="00E14EE0"/>
    <w:rsid w:val="00E15A70"/>
    <w:rsid w:val="00E17FC9"/>
    <w:rsid w:val="00E24FA9"/>
    <w:rsid w:val="00E25F35"/>
    <w:rsid w:val="00E263E8"/>
    <w:rsid w:val="00E2668A"/>
    <w:rsid w:val="00E27DBD"/>
    <w:rsid w:val="00E27EAB"/>
    <w:rsid w:val="00E318BF"/>
    <w:rsid w:val="00E31DA7"/>
    <w:rsid w:val="00E337EF"/>
    <w:rsid w:val="00E34AF0"/>
    <w:rsid w:val="00E34DEA"/>
    <w:rsid w:val="00E350E9"/>
    <w:rsid w:val="00E37387"/>
    <w:rsid w:val="00E40B05"/>
    <w:rsid w:val="00E41FC0"/>
    <w:rsid w:val="00E42928"/>
    <w:rsid w:val="00E43B73"/>
    <w:rsid w:val="00E4439A"/>
    <w:rsid w:val="00E45C5E"/>
    <w:rsid w:val="00E47737"/>
    <w:rsid w:val="00E47D8C"/>
    <w:rsid w:val="00E53A7F"/>
    <w:rsid w:val="00E546E1"/>
    <w:rsid w:val="00E54E61"/>
    <w:rsid w:val="00E55D64"/>
    <w:rsid w:val="00E5685C"/>
    <w:rsid w:val="00E5775B"/>
    <w:rsid w:val="00E60202"/>
    <w:rsid w:val="00E606AC"/>
    <w:rsid w:val="00E610C3"/>
    <w:rsid w:val="00E630F0"/>
    <w:rsid w:val="00E636DC"/>
    <w:rsid w:val="00E715E5"/>
    <w:rsid w:val="00E71D18"/>
    <w:rsid w:val="00E732CE"/>
    <w:rsid w:val="00E7377F"/>
    <w:rsid w:val="00E7489B"/>
    <w:rsid w:val="00E75937"/>
    <w:rsid w:val="00E7660E"/>
    <w:rsid w:val="00E76E4D"/>
    <w:rsid w:val="00E76EE2"/>
    <w:rsid w:val="00E77086"/>
    <w:rsid w:val="00E772EE"/>
    <w:rsid w:val="00E816A5"/>
    <w:rsid w:val="00E826DE"/>
    <w:rsid w:val="00E845C9"/>
    <w:rsid w:val="00E8476C"/>
    <w:rsid w:val="00E8514E"/>
    <w:rsid w:val="00E85676"/>
    <w:rsid w:val="00E85A11"/>
    <w:rsid w:val="00E867BF"/>
    <w:rsid w:val="00E87BAA"/>
    <w:rsid w:val="00E87C32"/>
    <w:rsid w:val="00E90E75"/>
    <w:rsid w:val="00E91DC5"/>
    <w:rsid w:val="00E9290E"/>
    <w:rsid w:val="00E94B56"/>
    <w:rsid w:val="00E95114"/>
    <w:rsid w:val="00E96601"/>
    <w:rsid w:val="00EA0538"/>
    <w:rsid w:val="00EA1A02"/>
    <w:rsid w:val="00EA21F6"/>
    <w:rsid w:val="00EA264E"/>
    <w:rsid w:val="00EA38B8"/>
    <w:rsid w:val="00EA444A"/>
    <w:rsid w:val="00EA5681"/>
    <w:rsid w:val="00EA5D73"/>
    <w:rsid w:val="00EA6834"/>
    <w:rsid w:val="00EA74AB"/>
    <w:rsid w:val="00EA7B0E"/>
    <w:rsid w:val="00EB0610"/>
    <w:rsid w:val="00EB131F"/>
    <w:rsid w:val="00EB2D96"/>
    <w:rsid w:val="00EB3A52"/>
    <w:rsid w:val="00EB404F"/>
    <w:rsid w:val="00EB4207"/>
    <w:rsid w:val="00EB4251"/>
    <w:rsid w:val="00EB4312"/>
    <w:rsid w:val="00EB4C7B"/>
    <w:rsid w:val="00EB66EF"/>
    <w:rsid w:val="00EB6957"/>
    <w:rsid w:val="00EC129B"/>
    <w:rsid w:val="00EC1548"/>
    <w:rsid w:val="00EC374A"/>
    <w:rsid w:val="00EC3E22"/>
    <w:rsid w:val="00EC5198"/>
    <w:rsid w:val="00EC5318"/>
    <w:rsid w:val="00EC6510"/>
    <w:rsid w:val="00EC7AF4"/>
    <w:rsid w:val="00ED3DB2"/>
    <w:rsid w:val="00ED6553"/>
    <w:rsid w:val="00ED77CF"/>
    <w:rsid w:val="00EE22E6"/>
    <w:rsid w:val="00EE2CA8"/>
    <w:rsid w:val="00EE34E3"/>
    <w:rsid w:val="00EE3931"/>
    <w:rsid w:val="00EE700D"/>
    <w:rsid w:val="00EF01EE"/>
    <w:rsid w:val="00EF2097"/>
    <w:rsid w:val="00EF3FEF"/>
    <w:rsid w:val="00EF5F06"/>
    <w:rsid w:val="00EF659F"/>
    <w:rsid w:val="00F005D0"/>
    <w:rsid w:val="00F00ED3"/>
    <w:rsid w:val="00F00FB2"/>
    <w:rsid w:val="00F01C3D"/>
    <w:rsid w:val="00F0286B"/>
    <w:rsid w:val="00F034AD"/>
    <w:rsid w:val="00F037B0"/>
    <w:rsid w:val="00F037D9"/>
    <w:rsid w:val="00F03B85"/>
    <w:rsid w:val="00F04D3B"/>
    <w:rsid w:val="00F04F7C"/>
    <w:rsid w:val="00F06D63"/>
    <w:rsid w:val="00F07CEB"/>
    <w:rsid w:val="00F11D42"/>
    <w:rsid w:val="00F1276B"/>
    <w:rsid w:val="00F131E2"/>
    <w:rsid w:val="00F13993"/>
    <w:rsid w:val="00F13A8A"/>
    <w:rsid w:val="00F13B60"/>
    <w:rsid w:val="00F13B8F"/>
    <w:rsid w:val="00F13DD2"/>
    <w:rsid w:val="00F13E5E"/>
    <w:rsid w:val="00F14342"/>
    <w:rsid w:val="00F149E6"/>
    <w:rsid w:val="00F14CF4"/>
    <w:rsid w:val="00F154AB"/>
    <w:rsid w:val="00F17842"/>
    <w:rsid w:val="00F17B55"/>
    <w:rsid w:val="00F20B78"/>
    <w:rsid w:val="00F24357"/>
    <w:rsid w:val="00F25192"/>
    <w:rsid w:val="00F2545E"/>
    <w:rsid w:val="00F254C5"/>
    <w:rsid w:val="00F30AB7"/>
    <w:rsid w:val="00F31004"/>
    <w:rsid w:val="00F32929"/>
    <w:rsid w:val="00F335AF"/>
    <w:rsid w:val="00F34494"/>
    <w:rsid w:val="00F34994"/>
    <w:rsid w:val="00F34CF7"/>
    <w:rsid w:val="00F370FA"/>
    <w:rsid w:val="00F3713B"/>
    <w:rsid w:val="00F407DA"/>
    <w:rsid w:val="00F40FA3"/>
    <w:rsid w:val="00F4123C"/>
    <w:rsid w:val="00F424B4"/>
    <w:rsid w:val="00F45BEC"/>
    <w:rsid w:val="00F45D28"/>
    <w:rsid w:val="00F47E89"/>
    <w:rsid w:val="00F52643"/>
    <w:rsid w:val="00F529B7"/>
    <w:rsid w:val="00F53DA5"/>
    <w:rsid w:val="00F55395"/>
    <w:rsid w:val="00F55DA8"/>
    <w:rsid w:val="00F56767"/>
    <w:rsid w:val="00F57087"/>
    <w:rsid w:val="00F613D3"/>
    <w:rsid w:val="00F61B8C"/>
    <w:rsid w:val="00F65722"/>
    <w:rsid w:val="00F66775"/>
    <w:rsid w:val="00F70B54"/>
    <w:rsid w:val="00F7230D"/>
    <w:rsid w:val="00F72901"/>
    <w:rsid w:val="00F73444"/>
    <w:rsid w:val="00F75484"/>
    <w:rsid w:val="00F75D51"/>
    <w:rsid w:val="00F75D60"/>
    <w:rsid w:val="00F80015"/>
    <w:rsid w:val="00F8106A"/>
    <w:rsid w:val="00F846A0"/>
    <w:rsid w:val="00F87821"/>
    <w:rsid w:val="00F909DC"/>
    <w:rsid w:val="00F90A94"/>
    <w:rsid w:val="00F91743"/>
    <w:rsid w:val="00F9326B"/>
    <w:rsid w:val="00F9349F"/>
    <w:rsid w:val="00F9417B"/>
    <w:rsid w:val="00F95B5D"/>
    <w:rsid w:val="00F975C0"/>
    <w:rsid w:val="00FA0CEA"/>
    <w:rsid w:val="00FA2752"/>
    <w:rsid w:val="00FA3705"/>
    <w:rsid w:val="00FA3C94"/>
    <w:rsid w:val="00FA3CB0"/>
    <w:rsid w:val="00FA3F90"/>
    <w:rsid w:val="00FA54DC"/>
    <w:rsid w:val="00FA5A85"/>
    <w:rsid w:val="00FA78BB"/>
    <w:rsid w:val="00FA7CC9"/>
    <w:rsid w:val="00FB084D"/>
    <w:rsid w:val="00FB1382"/>
    <w:rsid w:val="00FB167B"/>
    <w:rsid w:val="00FB3D64"/>
    <w:rsid w:val="00FB7317"/>
    <w:rsid w:val="00FB7EE5"/>
    <w:rsid w:val="00FC0BED"/>
    <w:rsid w:val="00FC3FD4"/>
    <w:rsid w:val="00FC46E1"/>
    <w:rsid w:val="00FD022F"/>
    <w:rsid w:val="00FD09B2"/>
    <w:rsid w:val="00FD2176"/>
    <w:rsid w:val="00FD4D84"/>
    <w:rsid w:val="00FD5890"/>
    <w:rsid w:val="00FD5CA6"/>
    <w:rsid w:val="00FD7669"/>
    <w:rsid w:val="00FE0DC3"/>
    <w:rsid w:val="00FE1F9D"/>
    <w:rsid w:val="00FE6766"/>
    <w:rsid w:val="00FE7294"/>
    <w:rsid w:val="00FE7BAC"/>
    <w:rsid w:val="00FF176E"/>
    <w:rsid w:val="00FF36BB"/>
    <w:rsid w:val="00FF432D"/>
    <w:rsid w:val="00FF453C"/>
    <w:rsid w:val="00FF4AE4"/>
    <w:rsid w:val="00FF63E1"/>
    <w:rsid w:val="00FF7C84"/>
    <w:rsid w:val="2EF26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nhideWhenUsed="0"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qFormat="1" w:unhideWhenUsed="0" w:uiPriority="99" w:name="footnote reference"/>
    <w:lsdException w:qFormat="1" w:uiPriority="99"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sdException w:qFormat="1" w:unhideWhenUsed="0" w:uiPriority="29" w:semiHidden="0" w:name="Quote"/>
    <w:lsdException w:qFormat="1" w:unhideWhenUsed="0" w:uiPriority="30" w:semiHidden="0" w:name="Intense Quote"/>
  </w:latentStyles>
  <w:style w:type="paragraph" w:default="1" w:styleId="1">
    <w:name w:val="Normal"/>
    <w:qFormat/>
    <w:uiPriority w:val="0"/>
    <w:pPr>
      <w:ind w:firstLine="709"/>
      <w:jc w:val="both"/>
    </w:pPr>
    <w:rPr>
      <w:rFonts w:ascii="Calibri" w:hAnsi="Calibri" w:eastAsia="Calibri" w:cs="Times New Roman"/>
      <w:sz w:val="22"/>
      <w:szCs w:val="22"/>
      <w:lang w:val="ru-RU" w:eastAsia="en-US" w:bidi="ar-SA"/>
    </w:rPr>
  </w:style>
  <w:style w:type="paragraph" w:styleId="2">
    <w:name w:val="heading 1"/>
    <w:basedOn w:val="1"/>
    <w:next w:val="1"/>
    <w:link w:val="41"/>
    <w:qFormat/>
    <w:uiPriority w:val="9"/>
    <w:pPr>
      <w:keepNext/>
      <w:keepLines/>
      <w:spacing w:before="480" w:after="200"/>
      <w:outlineLvl w:val="0"/>
    </w:pPr>
    <w:rPr>
      <w:rFonts w:ascii="Arial" w:hAnsi="Arial" w:eastAsia="Arial" w:cs="Arial"/>
      <w:sz w:val="40"/>
      <w:szCs w:val="40"/>
    </w:rPr>
  </w:style>
  <w:style w:type="paragraph" w:styleId="3">
    <w:name w:val="heading 2"/>
    <w:basedOn w:val="1"/>
    <w:next w:val="1"/>
    <w:link w:val="42"/>
    <w:unhideWhenUsed/>
    <w:qFormat/>
    <w:uiPriority w:val="9"/>
    <w:pPr>
      <w:keepNext/>
      <w:keepLines/>
      <w:ind w:firstLine="567"/>
      <w:outlineLvl w:val="1"/>
    </w:pPr>
    <w:rPr>
      <w:rFonts w:ascii="Times New Roman" w:hAnsi="Times New Roman" w:eastAsia="Arial" w:cs="Arial"/>
      <w:b/>
      <w:sz w:val="28"/>
      <w:szCs w:val="28"/>
    </w:rPr>
  </w:style>
  <w:style w:type="paragraph" w:styleId="4">
    <w:name w:val="heading 3"/>
    <w:basedOn w:val="3"/>
    <w:next w:val="1"/>
    <w:link w:val="43"/>
    <w:unhideWhenUsed/>
    <w:qFormat/>
    <w:uiPriority w:val="9"/>
    <w:pPr>
      <w:outlineLvl w:val="2"/>
    </w:pPr>
  </w:style>
  <w:style w:type="paragraph" w:styleId="5">
    <w:name w:val="heading 4"/>
    <w:basedOn w:val="4"/>
    <w:next w:val="1"/>
    <w:link w:val="44"/>
    <w:unhideWhenUsed/>
    <w:qFormat/>
    <w:uiPriority w:val="9"/>
    <w:pPr>
      <w:outlineLvl w:val="3"/>
    </w:pPr>
    <w:rPr>
      <w:lang w:eastAsia="ru-RU"/>
    </w:rPr>
  </w:style>
  <w:style w:type="paragraph" w:styleId="6">
    <w:name w:val="heading 5"/>
    <w:basedOn w:val="1"/>
    <w:next w:val="1"/>
    <w:link w:val="45"/>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46"/>
    <w:unhideWhenUsed/>
    <w:qFormat/>
    <w:uiPriority w:val="9"/>
    <w:pPr>
      <w:keepNext/>
      <w:keepLines/>
      <w:spacing w:before="320" w:after="200"/>
      <w:outlineLvl w:val="5"/>
    </w:pPr>
    <w:rPr>
      <w:rFonts w:ascii="Arial" w:hAnsi="Arial" w:eastAsia="Arial" w:cs="Arial"/>
      <w:b/>
      <w:bCs/>
    </w:rPr>
  </w:style>
  <w:style w:type="paragraph" w:styleId="8">
    <w:name w:val="heading 7"/>
    <w:basedOn w:val="1"/>
    <w:next w:val="1"/>
    <w:link w:val="47"/>
    <w:unhideWhenUsed/>
    <w:qFormat/>
    <w:uiPriority w:val="9"/>
    <w:pPr>
      <w:keepNext/>
      <w:keepLines/>
      <w:spacing w:before="320" w:after="200"/>
      <w:outlineLvl w:val="6"/>
    </w:pPr>
    <w:rPr>
      <w:rFonts w:ascii="Arial" w:hAnsi="Arial" w:eastAsia="Arial" w:cs="Arial"/>
      <w:b/>
      <w:bCs/>
      <w:i/>
      <w:iCs/>
    </w:rPr>
  </w:style>
  <w:style w:type="paragraph" w:styleId="9">
    <w:name w:val="heading 8"/>
    <w:basedOn w:val="1"/>
    <w:next w:val="1"/>
    <w:link w:val="48"/>
    <w:unhideWhenUsed/>
    <w:qFormat/>
    <w:uiPriority w:val="9"/>
    <w:pPr>
      <w:keepNext/>
      <w:keepLines/>
      <w:spacing w:before="320" w:after="200"/>
      <w:outlineLvl w:val="7"/>
    </w:pPr>
    <w:rPr>
      <w:rFonts w:ascii="Arial" w:hAnsi="Arial" w:eastAsia="Arial" w:cs="Arial"/>
      <w:i/>
      <w:iCs/>
    </w:rPr>
  </w:style>
  <w:style w:type="paragraph" w:styleId="10">
    <w:name w:val="heading 9"/>
    <w:basedOn w:val="1"/>
    <w:next w:val="1"/>
    <w:link w:val="49"/>
    <w:unhideWhenUsed/>
    <w:qFormat/>
    <w:uiPriority w:val="9"/>
    <w:pPr>
      <w:keepNext/>
      <w:keepLines/>
      <w:spacing w:before="320" w:after="200"/>
      <w:outlineLvl w:val="8"/>
    </w:pPr>
    <w:rPr>
      <w:rFonts w:ascii="Arial" w:hAnsi="Arial" w:eastAsia="Arial" w:cs="Arial"/>
      <w:i/>
      <w:iCs/>
      <w:sz w:val="21"/>
      <w:szCs w:val="21"/>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basedOn w:val="11"/>
    <w:semiHidden/>
    <w:unhideWhenUsed/>
    <w:qFormat/>
    <w:uiPriority w:val="99"/>
    <w:rPr>
      <w:color w:val="954F72" w:themeColor="followedHyperlink"/>
      <w:u w:val="single"/>
      <w14:textFill>
        <w14:solidFill>
          <w14:schemeClr w14:val="folHlink"/>
        </w14:solidFill>
      </w14:textFill>
    </w:rPr>
  </w:style>
  <w:style w:type="character" w:styleId="14">
    <w:name w:val="footnote reference"/>
    <w:semiHidden/>
    <w:qFormat/>
    <w:uiPriority w:val="99"/>
    <w:rPr>
      <w:vertAlign w:val="superscript"/>
    </w:rPr>
  </w:style>
  <w:style w:type="character" w:styleId="15">
    <w:name w:val="annotation reference"/>
    <w:semiHidden/>
    <w:unhideWhenUsed/>
    <w:qFormat/>
    <w:uiPriority w:val="99"/>
    <w:rPr>
      <w:sz w:val="16"/>
      <w:szCs w:val="16"/>
    </w:rPr>
  </w:style>
  <w:style w:type="character" w:styleId="16">
    <w:name w:val="endnote reference"/>
    <w:basedOn w:val="11"/>
    <w:semiHidden/>
    <w:unhideWhenUsed/>
    <w:qFormat/>
    <w:uiPriority w:val="99"/>
    <w:rPr>
      <w:vertAlign w:val="superscript"/>
    </w:rPr>
  </w:style>
  <w:style w:type="character" w:styleId="17">
    <w:name w:val="Hyperlink"/>
    <w:basedOn w:val="11"/>
    <w:unhideWhenUsed/>
    <w:qFormat/>
    <w:uiPriority w:val="99"/>
    <w:rPr>
      <w:color w:val="0563C1" w:themeColor="hyperlink"/>
      <w:u w:val="single"/>
      <w14:textFill>
        <w14:solidFill>
          <w14:schemeClr w14:val="hlink"/>
        </w14:solidFill>
      </w14:textFill>
    </w:rPr>
  </w:style>
  <w:style w:type="paragraph" w:styleId="18">
    <w:name w:val="Balloon Text"/>
    <w:basedOn w:val="1"/>
    <w:link w:val="200"/>
    <w:semiHidden/>
    <w:unhideWhenUsed/>
    <w:qFormat/>
    <w:uiPriority w:val="99"/>
    <w:rPr>
      <w:rFonts w:ascii="Tahoma" w:hAnsi="Tahoma" w:cs="Tahoma"/>
      <w:sz w:val="16"/>
      <w:szCs w:val="16"/>
    </w:rPr>
  </w:style>
  <w:style w:type="paragraph" w:styleId="19">
    <w:name w:val="endnote text"/>
    <w:basedOn w:val="1"/>
    <w:link w:val="186"/>
    <w:semiHidden/>
    <w:unhideWhenUsed/>
    <w:uiPriority w:val="99"/>
    <w:rPr>
      <w:sz w:val="20"/>
    </w:rPr>
  </w:style>
  <w:style w:type="paragraph" w:styleId="20">
    <w:name w:val="caption"/>
    <w:basedOn w:val="1"/>
    <w:next w:val="1"/>
    <w:semiHidden/>
    <w:unhideWhenUsed/>
    <w:qFormat/>
    <w:uiPriority w:val="35"/>
    <w:pPr>
      <w:spacing w:line="276" w:lineRule="auto"/>
    </w:pPr>
    <w:rPr>
      <w:b/>
      <w:bCs/>
      <w:color w:val="5B9BD5" w:themeColor="accent1"/>
      <w:sz w:val="18"/>
      <w:szCs w:val="18"/>
      <w14:textFill>
        <w14:solidFill>
          <w14:schemeClr w14:val="accent1"/>
        </w14:solidFill>
      </w14:textFill>
    </w:rPr>
  </w:style>
  <w:style w:type="paragraph" w:styleId="21">
    <w:name w:val="annotation text"/>
    <w:basedOn w:val="1"/>
    <w:link w:val="201"/>
    <w:unhideWhenUsed/>
    <w:qFormat/>
    <w:uiPriority w:val="99"/>
    <w:rPr>
      <w:sz w:val="20"/>
      <w:szCs w:val="20"/>
    </w:rPr>
  </w:style>
  <w:style w:type="paragraph" w:styleId="22">
    <w:name w:val="annotation subject"/>
    <w:basedOn w:val="21"/>
    <w:next w:val="21"/>
    <w:link w:val="202"/>
    <w:semiHidden/>
    <w:unhideWhenUsed/>
    <w:qFormat/>
    <w:uiPriority w:val="99"/>
    <w:rPr>
      <w:b/>
      <w:bCs/>
    </w:rPr>
  </w:style>
  <w:style w:type="paragraph" w:styleId="23">
    <w:name w:val="footnote text"/>
    <w:basedOn w:val="1"/>
    <w:link w:val="196"/>
    <w:qFormat/>
    <w:uiPriority w:val="99"/>
    <w:rPr>
      <w:rFonts w:ascii="Times New Roman" w:hAnsi="Times New Roman" w:eastAsia="Times New Roman"/>
      <w:sz w:val="20"/>
      <w:szCs w:val="20"/>
      <w:lang w:eastAsia="ru-RU"/>
    </w:rPr>
  </w:style>
  <w:style w:type="paragraph" w:styleId="24">
    <w:name w:val="toc 8"/>
    <w:basedOn w:val="1"/>
    <w:next w:val="1"/>
    <w:unhideWhenUsed/>
    <w:qFormat/>
    <w:uiPriority w:val="39"/>
    <w:pPr>
      <w:spacing w:after="57"/>
      <w:ind w:left="1984" w:firstLine="0"/>
    </w:pPr>
  </w:style>
  <w:style w:type="paragraph" w:styleId="25">
    <w:name w:val="header"/>
    <w:basedOn w:val="1"/>
    <w:link w:val="188"/>
    <w:unhideWhenUsed/>
    <w:qFormat/>
    <w:uiPriority w:val="99"/>
    <w:pPr>
      <w:tabs>
        <w:tab w:val="center" w:pos="4677"/>
        <w:tab w:val="right" w:pos="9355"/>
      </w:tabs>
    </w:pPr>
  </w:style>
  <w:style w:type="paragraph" w:styleId="26">
    <w:name w:val="toc 9"/>
    <w:basedOn w:val="1"/>
    <w:next w:val="1"/>
    <w:unhideWhenUsed/>
    <w:qFormat/>
    <w:uiPriority w:val="39"/>
    <w:pPr>
      <w:spacing w:after="57"/>
      <w:ind w:left="2268" w:firstLine="0"/>
    </w:pPr>
  </w:style>
  <w:style w:type="paragraph" w:styleId="27">
    <w:name w:val="toc 7"/>
    <w:basedOn w:val="1"/>
    <w:next w:val="1"/>
    <w:unhideWhenUsed/>
    <w:qFormat/>
    <w:uiPriority w:val="39"/>
    <w:pPr>
      <w:spacing w:after="57"/>
      <w:ind w:left="1701" w:firstLine="0"/>
    </w:pPr>
  </w:style>
  <w:style w:type="paragraph" w:styleId="28">
    <w:name w:val="Body Text"/>
    <w:basedOn w:val="1"/>
    <w:link w:val="191"/>
    <w:qFormat/>
    <w:uiPriority w:val="0"/>
    <w:pPr>
      <w:widowControl w:val="0"/>
      <w:shd w:val="clear" w:color="auto" w:fill="FFFFFF"/>
      <w:spacing w:after="780" w:line="298" w:lineRule="exact"/>
      <w:ind w:hanging="1600"/>
    </w:pPr>
    <w:rPr>
      <w:rFonts w:cs="Calibri"/>
    </w:rPr>
  </w:style>
  <w:style w:type="paragraph" w:styleId="29">
    <w:name w:val="toc 1"/>
    <w:basedOn w:val="1"/>
    <w:next w:val="1"/>
    <w:unhideWhenUsed/>
    <w:qFormat/>
    <w:uiPriority w:val="39"/>
    <w:pPr>
      <w:spacing w:after="57"/>
      <w:ind w:firstLine="0"/>
    </w:pPr>
  </w:style>
  <w:style w:type="paragraph" w:styleId="30">
    <w:name w:val="toc 6"/>
    <w:basedOn w:val="1"/>
    <w:next w:val="1"/>
    <w:unhideWhenUsed/>
    <w:qFormat/>
    <w:uiPriority w:val="39"/>
    <w:pPr>
      <w:spacing w:after="57"/>
      <w:ind w:left="1417" w:firstLine="0"/>
    </w:pPr>
  </w:style>
  <w:style w:type="paragraph" w:styleId="31">
    <w:name w:val="table of figures"/>
    <w:basedOn w:val="1"/>
    <w:next w:val="1"/>
    <w:unhideWhenUsed/>
    <w:qFormat/>
    <w:uiPriority w:val="99"/>
  </w:style>
  <w:style w:type="paragraph" w:styleId="32">
    <w:name w:val="toc 3"/>
    <w:basedOn w:val="1"/>
    <w:next w:val="1"/>
    <w:unhideWhenUsed/>
    <w:qFormat/>
    <w:uiPriority w:val="39"/>
    <w:pPr>
      <w:spacing w:after="57"/>
      <w:ind w:left="567" w:firstLine="0"/>
    </w:pPr>
  </w:style>
  <w:style w:type="paragraph" w:styleId="33">
    <w:name w:val="toc 2"/>
    <w:basedOn w:val="1"/>
    <w:next w:val="1"/>
    <w:unhideWhenUsed/>
    <w:qFormat/>
    <w:uiPriority w:val="39"/>
    <w:pPr>
      <w:spacing w:after="57"/>
      <w:ind w:left="283" w:firstLine="0"/>
    </w:pPr>
  </w:style>
  <w:style w:type="paragraph" w:styleId="34">
    <w:name w:val="toc 4"/>
    <w:basedOn w:val="1"/>
    <w:next w:val="1"/>
    <w:unhideWhenUsed/>
    <w:qFormat/>
    <w:uiPriority w:val="39"/>
    <w:pPr>
      <w:spacing w:after="57"/>
      <w:ind w:left="850" w:firstLine="0"/>
    </w:pPr>
  </w:style>
  <w:style w:type="paragraph" w:styleId="35">
    <w:name w:val="toc 5"/>
    <w:basedOn w:val="1"/>
    <w:next w:val="1"/>
    <w:unhideWhenUsed/>
    <w:qFormat/>
    <w:uiPriority w:val="39"/>
    <w:pPr>
      <w:spacing w:after="57"/>
      <w:ind w:left="1134" w:firstLine="0"/>
    </w:pPr>
  </w:style>
  <w:style w:type="paragraph" w:styleId="36">
    <w:name w:val="Title"/>
    <w:basedOn w:val="1"/>
    <w:next w:val="1"/>
    <w:link w:val="51"/>
    <w:qFormat/>
    <w:uiPriority w:val="10"/>
    <w:pPr>
      <w:spacing w:before="300" w:after="200"/>
      <w:contextualSpacing/>
    </w:pPr>
    <w:rPr>
      <w:sz w:val="48"/>
      <w:szCs w:val="48"/>
    </w:rPr>
  </w:style>
  <w:style w:type="paragraph" w:styleId="37">
    <w:name w:val="footer"/>
    <w:basedOn w:val="1"/>
    <w:link w:val="189"/>
    <w:unhideWhenUsed/>
    <w:qFormat/>
    <w:uiPriority w:val="99"/>
    <w:pPr>
      <w:tabs>
        <w:tab w:val="center" w:pos="4677"/>
        <w:tab w:val="right" w:pos="9355"/>
      </w:tabs>
    </w:pPr>
  </w:style>
  <w:style w:type="paragraph" w:styleId="38">
    <w:name w:val="Normal (Web)"/>
    <w:basedOn w:val="1"/>
    <w:unhideWhenUsed/>
    <w:qFormat/>
    <w:uiPriority w:val="99"/>
    <w:pPr>
      <w:spacing w:before="240" w:after="240"/>
    </w:pPr>
    <w:rPr>
      <w:rFonts w:ascii="Times New Roman" w:hAnsi="Times New Roman" w:eastAsia="Times New Roman"/>
      <w:sz w:val="24"/>
      <w:szCs w:val="24"/>
      <w:lang w:eastAsia="ru-RU"/>
    </w:rPr>
  </w:style>
  <w:style w:type="paragraph" w:styleId="39">
    <w:name w:val="Subtitle"/>
    <w:basedOn w:val="1"/>
    <w:next w:val="1"/>
    <w:link w:val="52"/>
    <w:qFormat/>
    <w:uiPriority w:val="11"/>
    <w:pPr>
      <w:spacing w:before="200" w:after="200"/>
    </w:pPr>
    <w:rPr>
      <w:sz w:val="24"/>
      <w:szCs w:val="24"/>
    </w:rPr>
  </w:style>
  <w:style w:type="table" w:styleId="40">
    <w:name w:val="Table Grid"/>
    <w:basedOn w:val="12"/>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41">
    <w:name w:val="Заголовок 1 Знак"/>
    <w:basedOn w:val="11"/>
    <w:link w:val="2"/>
    <w:uiPriority w:val="9"/>
    <w:rPr>
      <w:rFonts w:ascii="Arial" w:hAnsi="Arial" w:eastAsia="Arial" w:cs="Arial"/>
      <w:sz w:val="40"/>
      <w:szCs w:val="40"/>
    </w:rPr>
  </w:style>
  <w:style w:type="character" w:customStyle="1" w:styleId="42">
    <w:name w:val="Заголовок 2 Знак"/>
    <w:basedOn w:val="11"/>
    <w:link w:val="3"/>
    <w:uiPriority w:val="9"/>
    <w:rPr>
      <w:rFonts w:ascii="Times New Roman" w:hAnsi="Times New Roman" w:eastAsia="Arial" w:cs="Arial"/>
      <w:b/>
      <w:sz w:val="28"/>
      <w:szCs w:val="28"/>
      <w:lang w:eastAsia="en-US"/>
    </w:rPr>
  </w:style>
  <w:style w:type="character" w:customStyle="1" w:styleId="43">
    <w:name w:val="Заголовок 3 Знак"/>
    <w:basedOn w:val="11"/>
    <w:link w:val="4"/>
    <w:uiPriority w:val="9"/>
    <w:rPr>
      <w:rFonts w:ascii="Times New Roman" w:hAnsi="Times New Roman" w:eastAsia="Arial" w:cs="Arial"/>
      <w:b/>
      <w:sz w:val="28"/>
      <w:szCs w:val="28"/>
      <w:lang w:eastAsia="en-US"/>
    </w:rPr>
  </w:style>
  <w:style w:type="character" w:customStyle="1" w:styleId="44">
    <w:name w:val="Заголовок 4 Знак"/>
    <w:basedOn w:val="11"/>
    <w:link w:val="5"/>
    <w:uiPriority w:val="9"/>
    <w:rPr>
      <w:rFonts w:ascii="Times New Roman" w:hAnsi="Times New Roman" w:eastAsia="Arial" w:cs="Arial"/>
      <w:b/>
      <w:sz w:val="28"/>
      <w:szCs w:val="28"/>
    </w:rPr>
  </w:style>
  <w:style w:type="character" w:customStyle="1" w:styleId="45">
    <w:name w:val="Заголовок 5 Знак"/>
    <w:basedOn w:val="11"/>
    <w:link w:val="6"/>
    <w:uiPriority w:val="9"/>
    <w:rPr>
      <w:rFonts w:ascii="Arial" w:hAnsi="Arial" w:eastAsia="Arial" w:cs="Arial"/>
      <w:b/>
      <w:bCs/>
      <w:sz w:val="24"/>
      <w:szCs w:val="24"/>
    </w:rPr>
  </w:style>
  <w:style w:type="character" w:customStyle="1" w:styleId="46">
    <w:name w:val="Заголовок 6 Знак"/>
    <w:basedOn w:val="11"/>
    <w:link w:val="7"/>
    <w:uiPriority w:val="9"/>
    <w:rPr>
      <w:rFonts w:ascii="Arial" w:hAnsi="Arial" w:eastAsia="Arial" w:cs="Arial"/>
      <w:b/>
      <w:bCs/>
      <w:sz w:val="22"/>
      <w:szCs w:val="22"/>
    </w:rPr>
  </w:style>
  <w:style w:type="character" w:customStyle="1" w:styleId="47">
    <w:name w:val="Заголовок 7 Знак"/>
    <w:basedOn w:val="11"/>
    <w:link w:val="8"/>
    <w:uiPriority w:val="9"/>
    <w:rPr>
      <w:rFonts w:ascii="Arial" w:hAnsi="Arial" w:eastAsia="Arial" w:cs="Arial"/>
      <w:b/>
      <w:bCs/>
      <w:i/>
      <w:iCs/>
      <w:sz w:val="22"/>
      <w:szCs w:val="22"/>
    </w:rPr>
  </w:style>
  <w:style w:type="character" w:customStyle="1" w:styleId="48">
    <w:name w:val="Заголовок 8 Знак"/>
    <w:basedOn w:val="11"/>
    <w:link w:val="9"/>
    <w:uiPriority w:val="9"/>
    <w:rPr>
      <w:rFonts w:ascii="Arial" w:hAnsi="Arial" w:eastAsia="Arial" w:cs="Arial"/>
      <w:i/>
      <w:iCs/>
      <w:sz w:val="22"/>
      <w:szCs w:val="22"/>
    </w:rPr>
  </w:style>
  <w:style w:type="character" w:customStyle="1" w:styleId="49">
    <w:name w:val="Заголовок 9 Знак"/>
    <w:basedOn w:val="11"/>
    <w:link w:val="10"/>
    <w:uiPriority w:val="9"/>
    <w:rPr>
      <w:rFonts w:ascii="Arial" w:hAnsi="Arial" w:eastAsia="Arial" w:cs="Arial"/>
      <w:i/>
      <w:iCs/>
      <w:sz w:val="21"/>
      <w:szCs w:val="21"/>
    </w:rPr>
  </w:style>
  <w:style w:type="paragraph" w:styleId="50">
    <w:name w:val="No Spacing"/>
    <w:qFormat/>
    <w:uiPriority w:val="1"/>
    <w:rPr>
      <w:rFonts w:ascii="Calibri" w:hAnsi="Calibri" w:eastAsia="Calibri" w:cs="Times New Roman"/>
      <w:lang w:val="ru-RU" w:eastAsia="ru-RU" w:bidi="ar-SA"/>
    </w:rPr>
  </w:style>
  <w:style w:type="character" w:customStyle="1" w:styleId="51">
    <w:name w:val="Название Знак"/>
    <w:basedOn w:val="11"/>
    <w:link w:val="36"/>
    <w:uiPriority w:val="10"/>
    <w:rPr>
      <w:sz w:val="48"/>
      <w:szCs w:val="48"/>
    </w:rPr>
  </w:style>
  <w:style w:type="character" w:customStyle="1" w:styleId="52">
    <w:name w:val="Подзаголовок Знак"/>
    <w:basedOn w:val="11"/>
    <w:link w:val="39"/>
    <w:uiPriority w:val="11"/>
    <w:rPr>
      <w:sz w:val="24"/>
      <w:szCs w:val="24"/>
    </w:rPr>
  </w:style>
  <w:style w:type="paragraph" w:styleId="53">
    <w:name w:val="Quote"/>
    <w:basedOn w:val="1"/>
    <w:next w:val="1"/>
    <w:link w:val="54"/>
    <w:qFormat/>
    <w:uiPriority w:val="29"/>
    <w:pPr>
      <w:ind w:left="720" w:right="720"/>
    </w:pPr>
    <w:rPr>
      <w:i/>
    </w:rPr>
  </w:style>
  <w:style w:type="character" w:customStyle="1" w:styleId="54">
    <w:name w:val="Цитата 2 Знак"/>
    <w:link w:val="53"/>
    <w:uiPriority w:val="29"/>
    <w:rPr>
      <w:i/>
    </w:rPr>
  </w:style>
  <w:style w:type="paragraph" w:styleId="55">
    <w:name w:val="Intense Quote"/>
    <w:basedOn w:val="1"/>
    <w:next w:val="1"/>
    <w:link w:val="56"/>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pPr>
    <w:rPr>
      <w:i/>
    </w:rPr>
  </w:style>
  <w:style w:type="character" w:customStyle="1" w:styleId="56">
    <w:name w:val="Выделенная цитата Знак"/>
    <w:link w:val="55"/>
    <w:uiPriority w:val="30"/>
    <w:rPr>
      <w:i/>
    </w:rPr>
  </w:style>
  <w:style w:type="character" w:customStyle="1" w:styleId="57">
    <w:name w:val="Header Char"/>
    <w:basedOn w:val="11"/>
    <w:uiPriority w:val="99"/>
  </w:style>
  <w:style w:type="character" w:customStyle="1" w:styleId="58">
    <w:name w:val="Footer Char"/>
    <w:basedOn w:val="11"/>
    <w:uiPriority w:val="99"/>
  </w:style>
  <w:style w:type="character" w:customStyle="1" w:styleId="59">
    <w:name w:val="Caption Char"/>
    <w:uiPriority w:val="99"/>
  </w:style>
  <w:style w:type="table" w:customStyle="1" w:styleId="60">
    <w:name w:val="Table Grid Light"/>
    <w:basedOn w:val="12"/>
    <w:uiPriority w:val="59"/>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Pr>
  </w:style>
  <w:style w:type="table" w:customStyle="1" w:styleId="61">
    <w:name w:val="Таблица простая 11"/>
    <w:basedOn w:val="12"/>
    <w:uiPriority w:val="59"/>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1Horz">
      <w:tcPr>
        <w:shd w:val="clear" w:color="F1F1F1" w:themeColor="text1" w:themeTint="0D" w:fill="F1F1F1" w:themeFill="text1" w:themeFillTint="0D"/>
      </w:tcPr>
    </w:tblStylePr>
  </w:style>
  <w:style w:type="table" w:customStyle="1" w:styleId="62">
    <w:name w:val="Таблица простая 21"/>
    <w:basedOn w:val="12"/>
    <w:uiPriority w:val="59"/>
    <w:tblPr>
      <w:tblBorders>
        <w:top w:val="single" w:color="000000" w:themeColor="text1" w:sz="4" w:space="0"/>
        <w:left w:val="none" w:color="000000" w:themeColor="text1" w:sz="4" w:space="0"/>
        <w:bottom w:val="single" w:color="000000" w:themeColor="text1" w:sz="4" w:space="0"/>
        <w:right w:val="none" w:color="000000" w:themeColor="text1" w:sz="4" w:space="0"/>
      </w:tblBorders>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63">
    <w:name w:val="Таблица простая 31"/>
    <w:basedOn w:val="12"/>
    <w:uiPriority w:val="99"/>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4">
    <w:name w:val="Таблица простая 41"/>
    <w:basedOn w:val="12"/>
    <w:uiPriority w:val="99"/>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5">
    <w:name w:val="Таблица простая 51"/>
    <w:basedOn w:val="12"/>
    <w:uiPriority w:val="99"/>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6">
    <w:name w:val="Таблица-сетка 1 светлая1"/>
    <w:basedOn w:val="12"/>
    <w:uiPriority w:val="99"/>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67">
    <w:name w:val="Grid Table 1 Light - Accent 1"/>
    <w:basedOn w:val="12"/>
    <w:uiPriority w:val="99"/>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b/>
        <w:color w:val="404040"/>
      </w:rPr>
      <w:tcPr>
        <w:tcBorders>
          <w:bottom w:val="single" w:color="9FC4E6"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68">
    <w:name w:val="Grid Table 1 Light - Accent 2"/>
    <w:basedOn w:val="12"/>
    <w:uiPriority w:val="99"/>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color w:val="404040"/>
      </w:rPr>
      <w:tcPr>
        <w:tcBorders>
          <w:bottom w:val="single" w:color="F4B38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69">
    <w:name w:val="Grid Table 1 Light - Accent 3"/>
    <w:basedOn w:val="12"/>
    <w:uiPriority w:val="99"/>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color w:val="404040"/>
      </w:rPr>
      <w:tcPr>
        <w:tcBorders>
          <w:bottom w:val="single" w:color="CACACA"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70">
    <w:name w:val="Grid Table 1 Light - Accent 4"/>
    <w:basedOn w:val="12"/>
    <w:uiPriority w:val="99"/>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b/>
        <w:color w:val="404040"/>
      </w:rPr>
      <w:tcPr>
        <w:tcBorders>
          <w:bottom w:val="single" w:color="FFDA69"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71">
    <w:name w:val="Grid Table 1 Light - Accent 5"/>
    <w:basedOn w:val="12"/>
    <w:uiPriority w:val="99"/>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b/>
        <w:color w:val="404040"/>
      </w:rPr>
      <w:tcPr>
        <w:tcBorders>
          <w:bottom w:val="single" w:color="91ACDC"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72">
    <w:name w:val="Grid Table 1 Light - Accent 6"/>
    <w:basedOn w:val="12"/>
    <w:uiPriority w:val="99"/>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color w:val="404040"/>
      </w:rPr>
      <w:tcPr>
        <w:tcBorders>
          <w:bottom w:val="single" w:color="AAD19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table" w:customStyle="1" w:styleId="73">
    <w:name w:val="Таблица-сетка 21"/>
    <w:basedOn w:val="12"/>
    <w:uiPriority w:val="99"/>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74">
    <w:name w:val="Grid Table 2 - Accent 1"/>
    <w:basedOn w:val="12"/>
    <w:uiPriority w:val="99"/>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single" w:color="68A3D8" w:themeColor="accent1" w:themeTint="EA" w:sz="12" w:space="0"/>
          <w:right w:val="nil"/>
        </w:tcBorders>
        <w:shd w:val="clear" w:color="FFFFFF" w:fill="auto"/>
      </w:tcPr>
    </w:tblStylePr>
    <w:tblStylePr w:type="lastRow">
      <w:rPr>
        <w:b/>
        <w:color w:val="404040"/>
      </w:rPr>
      <w:tcPr>
        <w:tcBorders>
          <w:top w:val="single" w:color="68A3D8"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1" w:themeTint="34" w:fill="DDEAF6" w:themeFill="accent1" w:themeFillTint="34"/>
      </w:tcPr>
    </w:tblStylePr>
    <w:tblStylePr w:type="band1Horz">
      <w:rPr>
        <w:rFonts w:ascii="Arial" w:hAnsi="Arial"/>
        <w:color w:val="404040"/>
        <w:sz w:val="22"/>
      </w:rPr>
      <w:tcPr>
        <w:shd w:val="clear" w:color="DDEAF6" w:themeColor="accent1" w:themeTint="34" w:fill="DDEAF6" w:themeFill="accent1" w:themeFillTint="34"/>
      </w:tcPr>
    </w:tblStylePr>
  </w:style>
  <w:style w:type="table" w:customStyle="1" w:styleId="75">
    <w:name w:val="Grid Table 2 - Accent 2"/>
    <w:basedOn w:val="12"/>
    <w:uiPriority w:val="99"/>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single" w:color="F4B285" w:themeColor="accent2" w:themeTint="97" w:sz="12" w:space="0"/>
          <w:right w:val="nil"/>
        </w:tcBorders>
        <w:shd w:val="clear" w:color="FFFFFF" w:fill="auto"/>
      </w:tcPr>
    </w:tblStylePr>
    <w:tblStylePr w:type="lastRow">
      <w:rPr>
        <w:b/>
        <w:color w:val="404040"/>
      </w:rPr>
      <w:tcPr>
        <w:tcBorders>
          <w:top w:val="single" w:color="F4B28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76">
    <w:name w:val="Grid Table 2 - Accent 3"/>
    <w:basedOn w:val="12"/>
    <w:uiPriority w:val="99"/>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single" w:color="A5A5A5" w:themeColor="accent3" w:themeTint="FE" w:sz="12" w:space="0"/>
          <w:right w:val="nil"/>
        </w:tcBorders>
        <w:shd w:val="clear" w:color="FFFFFF" w:fill="auto"/>
      </w:tcPr>
    </w:tblStylePr>
    <w:tblStylePr w:type="lastRow">
      <w:rPr>
        <w:b/>
        <w:color w:val="404040"/>
      </w:rPr>
      <w:tcPr>
        <w:tcBorders>
          <w:top w:val="single" w:color="A5A5A5"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77">
    <w:name w:val="Grid Table 2 - Accent 4"/>
    <w:basedOn w:val="12"/>
    <w:uiPriority w:val="99"/>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single" w:color="FFD864" w:themeColor="accent4" w:themeTint="9A" w:sz="12" w:space="0"/>
          <w:right w:val="nil"/>
        </w:tcBorders>
        <w:shd w:val="clear" w:color="FFFFFF" w:fill="auto"/>
      </w:tcPr>
    </w:tblStylePr>
    <w:tblStylePr w:type="lastRow">
      <w:rPr>
        <w:b/>
        <w:color w:val="404040"/>
      </w:rPr>
      <w:tcPr>
        <w:tcBorders>
          <w:top w:val="single" w:color="FFD864"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78">
    <w:name w:val="Grid Table 2 - Accent 5"/>
    <w:basedOn w:val="12"/>
    <w:uiPriority w:val="99"/>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single" w:color="4472C4" w:themeColor="accent5" w:sz="12" w:space="0"/>
          <w:right w:val="nil"/>
        </w:tcBorders>
        <w:shd w:val="clear" w:color="FFFFFF" w:fill="auto"/>
      </w:tcPr>
    </w:tblStylePr>
    <w:tblStylePr w:type="lastRow">
      <w:rPr>
        <w:b/>
        <w:color w:val="404040"/>
      </w:rPr>
      <w:tcPr>
        <w:tcBorders>
          <w:top w:val="single" w:color="4472C4"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79">
    <w:name w:val="Grid Table 2 - Accent 6"/>
    <w:basedOn w:val="12"/>
    <w:uiPriority w:val="99"/>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single" w:color="70AD47" w:themeColor="accent6" w:sz="12" w:space="0"/>
          <w:right w:val="nil"/>
        </w:tcBorders>
        <w:shd w:val="clear" w:color="FFFFFF" w:fill="auto"/>
      </w:tcPr>
    </w:tblStylePr>
    <w:tblStylePr w:type="lastRow">
      <w:rPr>
        <w:b/>
        <w:color w:val="404040"/>
      </w:rPr>
      <w:tcPr>
        <w:tcBorders>
          <w:top w:val="single" w:color="70AD47"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80">
    <w:name w:val="Таблица-сетка 31"/>
    <w:basedOn w:val="12"/>
    <w:uiPriority w:val="99"/>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1">
    <w:name w:val="Grid Table 3 - Accent 1"/>
    <w:basedOn w:val="12"/>
    <w:uiPriority w:val="99"/>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themeColor="accent1" w:themeTint="34" w:fill="DDEAF6" w:themeFill="accent1" w:themeFillTint="34"/>
      </w:tcPr>
    </w:tblStylePr>
    <w:tblStylePr w:type="band1Horz">
      <w:rPr>
        <w:rFonts w:ascii="Arial" w:hAnsi="Arial"/>
        <w:color w:val="404040"/>
        <w:sz w:val="22"/>
      </w:rPr>
      <w:tcPr>
        <w:shd w:val="clear" w:color="DDEAF6" w:themeColor="accent1" w:themeTint="34" w:fill="DDEAF6" w:themeFill="accent1" w:themeFillTint="34"/>
      </w:tcPr>
    </w:tblStylePr>
  </w:style>
  <w:style w:type="table" w:customStyle="1" w:styleId="82">
    <w:name w:val="Grid Table 3 - Accent 2"/>
    <w:basedOn w:val="12"/>
    <w:uiPriority w:val="99"/>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83">
    <w:name w:val="Grid Table 3 - Accent 3"/>
    <w:basedOn w:val="12"/>
    <w:uiPriority w:val="99"/>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84">
    <w:name w:val="Grid Table 3 - Accent 4"/>
    <w:basedOn w:val="12"/>
    <w:uiPriority w:val="99"/>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85">
    <w:name w:val="Grid Table 3 - Accent 5"/>
    <w:basedOn w:val="12"/>
    <w:uiPriority w:val="99"/>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86">
    <w:name w:val="Grid Table 3 - Accent 6"/>
    <w:basedOn w:val="12"/>
    <w:uiPriority w:val="99"/>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87">
    <w:name w:val="Таблица-сетка 41"/>
    <w:basedOn w:val="12"/>
    <w:uiPriority w:val="59"/>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8">
    <w:name w:val="Grid Table 4 - Accent 1"/>
    <w:basedOn w:val="12"/>
    <w:uiPriority w:val="59"/>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blStylePr w:type="firstRow">
      <w:rPr>
        <w:rFonts w:ascii="Arial" w:hAnsi="Arial"/>
        <w:b/>
        <w:color w:val="FFFFFF"/>
        <w:sz w:val="22"/>
      </w:rPr>
      <w:tcPr>
        <w:tcBorders>
          <w:top w:val="single" w:color="68A3D8" w:themeColor="accent1" w:themeTint="EA" w:sz="4" w:space="0"/>
          <w:left w:val="single" w:color="68A3D8" w:themeColor="accent1" w:themeTint="EA" w:sz="4" w:space="0"/>
          <w:bottom w:val="single" w:color="68A3D8" w:themeColor="accent1" w:themeTint="EA" w:sz="4" w:space="0"/>
          <w:right w:val="single" w:color="68A3D8" w:themeColor="accent1" w:themeTint="EA" w:sz="4" w:space="0"/>
        </w:tcBorders>
        <w:shd w:val="clear" w:color="68A3D8" w:themeColor="accent1" w:themeTint="EA" w:fill="68A3D8" w:themeFill="accent1" w:themeFillTint="EA"/>
      </w:tcPr>
    </w:tblStylePr>
    <w:tblStylePr w:type="lastRow">
      <w:rPr>
        <w:b/>
        <w:color w:val="404040"/>
      </w:rPr>
      <w:tcPr>
        <w:tcBorders>
          <w:top w:val="single" w:color="68A3D8"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themeColor="accent1" w:themeTint="32" w:fill="DEEBF6" w:themeFill="accent1" w:themeFillTint="32"/>
      </w:tcPr>
    </w:tblStylePr>
    <w:tblStylePr w:type="band1Horz">
      <w:rPr>
        <w:rFonts w:ascii="Arial" w:hAnsi="Arial"/>
        <w:color w:val="404040"/>
        <w:sz w:val="22"/>
      </w:rPr>
      <w:tcPr>
        <w:shd w:val="clear" w:color="DEEBF6" w:themeColor="accent1" w:themeTint="32" w:fill="DEEBF6" w:themeFill="accent1" w:themeFillTint="32"/>
      </w:tcPr>
    </w:tblStylePr>
  </w:style>
  <w:style w:type="table" w:customStyle="1" w:styleId="89">
    <w:name w:val="Grid Table 4 - Accent 2"/>
    <w:basedOn w:val="12"/>
    <w:uiPriority w:val="59"/>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rFonts w:ascii="Arial" w:hAnsi="Arial"/>
        <w:b/>
        <w:color w:val="FFFFFF"/>
        <w:sz w:val="22"/>
      </w:rPr>
      <w:tcPr>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shd w:val="clear" w:color="F4B285" w:themeColor="accent2" w:themeTint="97" w:fill="F4B285" w:themeFill="accent2" w:themeFillTint="97"/>
      </w:tcPr>
    </w:tblStylePr>
    <w:tblStylePr w:type="lastRow">
      <w:rPr>
        <w:b/>
        <w:color w:val="404040"/>
      </w:rPr>
      <w:tcPr>
        <w:tcBorders>
          <w:top w:val="single" w:color="F4B28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90">
    <w:name w:val="Grid Table 4 - Accent 3"/>
    <w:basedOn w:val="12"/>
    <w:uiPriority w:val="59"/>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rFonts w:ascii="Arial" w:hAnsi="Arial"/>
        <w:b/>
        <w:color w:val="FFFFFF"/>
        <w:sz w:val="22"/>
      </w:rPr>
      <w:tcPr>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shd w:val="clear" w:color="A5A5A5" w:themeColor="accent3" w:themeTint="FE" w:fill="A5A5A5" w:themeFill="accent3" w:themeFillTint="FE"/>
      </w:tcPr>
    </w:tblStylePr>
    <w:tblStylePr w:type="lastRow">
      <w:rPr>
        <w:b/>
        <w:color w:val="404040"/>
      </w:rPr>
      <w:tcPr>
        <w:tcBorders>
          <w:top w:val="single" w:color="A5A5A5"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91">
    <w:name w:val="Grid Table 4 - Accent 4"/>
    <w:basedOn w:val="12"/>
    <w:uiPriority w:val="59"/>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blStylePr w:type="firstRow">
      <w:rPr>
        <w:rFonts w:ascii="Arial" w:hAnsi="Arial"/>
        <w:b/>
        <w:color w:val="FFFFFF"/>
        <w:sz w:val="22"/>
      </w:rPr>
      <w:tcPr>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shd w:val="clear" w:color="FFD864" w:themeColor="accent4" w:themeTint="9A" w:fill="FFD864" w:themeFill="accent4" w:themeFillTint="9A"/>
      </w:tcPr>
    </w:tblStylePr>
    <w:tblStylePr w:type="lastRow">
      <w:rPr>
        <w:b/>
        <w:color w:val="404040"/>
      </w:rPr>
      <w:tcPr>
        <w:tcBorders>
          <w:top w:val="single" w:color="FFD864"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92">
    <w:name w:val="Grid Table 4 - Accent 5"/>
    <w:basedOn w:val="12"/>
    <w:uiPriority w:val="59"/>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FFFFFF"/>
        <w:sz w:val="22"/>
      </w:rPr>
      <w:tcPr>
        <w:tcBorders>
          <w:top w:val="single" w:color="4472C4" w:themeColor="accent5" w:sz="4" w:space="0"/>
          <w:left w:val="single" w:color="4472C4" w:themeColor="accent5" w:sz="4" w:space="0"/>
          <w:bottom w:val="single" w:color="4472C4" w:themeColor="accent5" w:sz="4" w:space="0"/>
          <w:right w:val="single" w:color="4472C4" w:themeColor="accent5" w:sz="4" w:space="0"/>
        </w:tcBorders>
        <w:shd w:val="clear" w:color="4472C4" w:themeColor="accent5" w:fill="4472C4" w:themeFill="accent5"/>
      </w:tcPr>
    </w:tblStylePr>
    <w:tblStylePr w:type="lastRow">
      <w:rPr>
        <w:b/>
        <w:color w:val="404040"/>
      </w:rPr>
      <w:tcPr>
        <w:tcBorders>
          <w:top w:val="single" w:color="4472C4"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93">
    <w:name w:val="Grid Table 4 - Accent 6"/>
    <w:basedOn w:val="12"/>
    <w:uiPriority w:val="59"/>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FFFFFF"/>
        <w:sz w:val="22"/>
      </w:r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themeColor="accent6" w:fill="70AD47" w:themeFill="accent6"/>
      </w:tcPr>
    </w:tblStylePr>
    <w:tblStylePr w:type="lastRow">
      <w:rPr>
        <w:b/>
        <w:color w:val="404040"/>
      </w:rPr>
      <w:tcPr>
        <w:tcBorders>
          <w:top w:val="single" w:color="70AD47"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94">
    <w:name w:val="Таблица-сетка 5 темная1"/>
    <w:basedOn w:val="12"/>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1Horz">
      <w:tcPr>
        <w:shd w:val="clear" w:color="898989" w:themeColor="text1" w:themeTint="75" w:fill="898989" w:themeFill="text1" w:themeFillTint="75"/>
      </w:tcPr>
    </w:tblStylePr>
  </w:style>
  <w:style w:type="table" w:customStyle="1" w:styleId="95">
    <w:name w:val="Grid Table 5 Dark- Accent 1"/>
    <w:basedOn w:val="12"/>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5B9BD5" w:themeColor="accent1" w:fill="5B9BD5" w:themeFill="accent1"/>
      </w:tcPr>
    </w:tblStylePr>
    <w:tblStylePr w:type="lastRow">
      <w:rPr>
        <w:rFonts w:ascii="Arial" w:hAnsi="Arial"/>
        <w:b/>
        <w:color w:val="FFFFFF"/>
        <w:sz w:val="22"/>
      </w:rPr>
      <w:tcPr>
        <w:tcBorders>
          <w:top w:val="single" w:color="FFFFFF" w:themeColor="light1" w:sz="4" w:space="0"/>
        </w:tcBorders>
        <w:shd w:val="clear" w:color="5B9BD5" w:themeColor="accent1" w:fill="5B9BD5" w:themeFill="accent1"/>
      </w:tcPr>
    </w:tblStylePr>
    <w:tblStylePr w:type="firstCol">
      <w:rPr>
        <w:rFonts w:ascii="Arial" w:hAnsi="Arial"/>
        <w:b/>
        <w:color w:val="FFFFFF"/>
        <w:sz w:val="22"/>
      </w:rPr>
      <w:tcPr>
        <w:shd w:val="clear" w:color="5B9BD5" w:themeColor="accent1" w:fill="5B9BD5" w:themeFill="accent1"/>
      </w:tcPr>
    </w:tblStylePr>
    <w:tblStylePr w:type="lastCol">
      <w:rPr>
        <w:rFonts w:ascii="Arial" w:hAnsi="Arial"/>
        <w:b/>
        <w:color w:val="FFFFFF"/>
        <w:sz w:val="22"/>
      </w:rPr>
      <w:tcPr>
        <w:shd w:val="clear" w:color="5B9BD5" w:themeColor="accent1" w:fill="5B9BD5" w:themeFill="accent1"/>
      </w:tcPr>
    </w:tblStylePr>
    <w:tblStylePr w:type="band1Vert">
      <w:tcPr>
        <w:shd w:val="clear" w:color="B3D1EB" w:themeColor="accent1" w:themeTint="75" w:fill="B3D1EB" w:themeFill="accent1" w:themeFillTint="75"/>
      </w:tcPr>
    </w:tblStylePr>
    <w:tblStylePr w:type="band1Horz">
      <w:tcPr>
        <w:shd w:val="clear" w:color="B3D1EB" w:themeColor="accent1" w:themeTint="75" w:fill="B3D1EB" w:themeFill="accent1" w:themeFillTint="75"/>
      </w:tcPr>
    </w:tblStylePr>
  </w:style>
  <w:style w:type="table" w:customStyle="1" w:styleId="96">
    <w:name w:val="Grid Table 5 Dark - Accent 2"/>
    <w:basedOn w:val="12"/>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ED7D31" w:themeColor="accent2" w:fill="ED7D31" w:themeFill="accent2"/>
      </w:tcPr>
    </w:tblStylePr>
    <w:tblStylePr w:type="lastRow">
      <w:rPr>
        <w:rFonts w:ascii="Arial" w:hAnsi="Arial"/>
        <w:b/>
        <w:color w:val="FFFFFF"/>
        <w:sz w:val="22"/>
      </w:rPr>
      <w:tcPr>
        <w:tcBorders>
          <w:top w:val="single" w:color="FFFFFF" w:themeColor="light1" w:sz="4" w:space="0"/>
        </w:tcBorders>
        <w:shd w:val="clear" w:color="ED7D31" w:themeColor="accent2" w:fill="ED7D31" w:themeFill="accent2"/>
      </w:tcPr>
    </w:tblStylePr>
    <w:tblStylePr w:type="firstCol">
      <w:rPr>
        <w:rFonts w:ascii="Arial" w:hAnsi="Arial"/>
        <w:b/>
        <w:color w:val="FFFFFF"/>
        <w:sz w:val="22"/>
      </w:rPr>
      <w:tcPr>
        <w:shd w:val="clear" w:color="ED7D31" w:themeColor="accent2" w:fill="ED7D31" w:themeFill="accent2"/>
      </w:tcPr>
    </w:tblStylePr>
    <w:tblStylePr w:type="lastCol">
      <w:rPr>
        <w:rFonts w:ascii="Arial" w:hAnsi="Arial"/>
        <w:b/>
        <w:color w:val="FFFFFF"/>
        <w:sz w:val="22"/>
      </w:rPr>
      <w:tcPr>
        <w:shd w:val="clear" w:color="ED7D31" w:themeColor="accent2" w:fill="ED7D31" w:themeFill="accent2"/>
      </w:tcPr>
    </w:tblStylePr>
    <w:tblStylePr w:type="band1Vert">
      <w:tcPr>
        <w:shd w:val="clear" w:color="F6C3A0" w:themeColor="accent2" w:themeTint="75" w:fill="F6C3A0" w:themeFill="accent2" w:themeFillTint="75"/>
      </w:tcPr>
    </w:tblStylePr>
    <w:tblStylePr w:type="band1Horz">
      <w:tcPr>
        <w:shd w:val="clear" w:color="F6C3A0" w:themeColor="accent2" w:themeTint="75" w:fill="F6C3A0" w:themeFill="accent2" w:themeFillTint="75"/>
      </w:tcPr>
    </w:tblStylePr>
  </w:style>
  <w:style w:type="table" w:customStyle="1" w:styleId="97">
    <w:name w:val="Grid Table 5 Dark - Accent 3"/>
    <w:basedOn w:val="12"/>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5A5A5" w:themeColor="accent3" w:fill="A5A5A5" w:themeFill="accent3"/>
      </w:tcPr>
    </w:tblStylePr>
    <w:tblStylePr w:type="lastRow">
      <w:rPr>
        <w:rFonts w:ascii="Arial" w:hAnsi="Arial"/>
        <w:b/>
        <w:color w:val="FFFFFF"/>
        <w:sz w:val="22"/>
      </w:rPr>
      <w:tcPr>
        <w:tcBorders>
          <w:top w:val="single" w:color="FFFFFF" w:themeColor="light1" w:sz="4" w:space="0"/>
        </w:tcBorders>
        <w:shd w:val="clear" w:color="A5A5A5" w:themeColor="accent3" w:fill="A5A5A5" w:themeFill="accent3"/>
      </w:tcPr>
    </w:tblStylePr>
    <w:tblStylePr w:type="firstCol">
      <w:rPr>
        <w:rFonts w:ascii="Arial" w:hAnsi="Arial"/>
        <w:b/>
        <w:color w:val="FFFFFF"/>
        <w:sz w:val="22"/>
      </w:rPr>
      <w:tcPr>
        <w:shd w:val="clear" w:color="A5A5A5" w:themeColor="accent3" w:fill="A5A5A5" w:themeFill="accent3"/>
      </w:tcPr>
    </w:tblStylePr>
    <w:tblStylePr w:type="lastCol">
      <w:rPr>
        <w:rFonts w:ascii="Arial" w:hAnsi="Arial"/>
        <w:b/>
        <w:color w:val="FFFFFF"/>
        <w:sz w:val="22"/>
      </w:rPr>
      <w:tcPr>
        <w:shd w:val="clear" w:color="A5A5A5" w:themeColor="accent3" w:fill="A5A5A5" w:themeFill="accent3"/>
      </w:tcPr>
    </w:tblStylePr>
    <w:tblStylePr w:type="band1Vert">
      <w:tcPr>
        <w:shd w:val="clear" w:color="D5D5D5" w:themeColor="accent3" w:themeTint="75" w:fill="D5D5D5" w:themeFill="accent3" w:themeFillTint="75"/>
      </w:tcPr>
    </w:tblStylePr>
    <w:tblStylePr w:type="band1Horz">
      <w:tcPr>
        <w:shd w:val="clear" w:color="D5D5D5" w:themeColor="accent3" w:themeTint="75" w:fill="D5D5D5" w:themeFill="accent3" w:themeFillTint="75"/>
      </w:tcPr>
    </w:tblStylePr>
  </w:style>
  <w:style w:type="table" w:customStyle="1" w:styleId="98">
    <w:name w:val="Grid Table 5 Dark- Accent 4"/>
    <w:basedOn w:val="12"/>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FC000" w:themeColor="accent4" w:fill="FFC000" w:themeFill="accent4"/>
      </w:tcPr>
    </w:tblStylePr>
    <w:tblStylePr w:type="lastRow">
      <w:rPr>
        <w:rFonts w:ascii="Arial" w:hAnsi="Arial"/>
        <w:b/>
        <w:color w:val="FFFFFF"/>
        <w:sz w:val="22"/>
      </w:rPr>
      <w:tcPr>
        <w:tcBorders>
          <w:top w:val="single" w:color="FFFFFF" w:themeColor="light1" w:sz="4" w:space="0"/>
        </w:tcBorders>
        <w:shd w:val="clear" w:color="FFC000" w:themeColor="accent4" w:fill="FFC000" w:themeFill="accent4"/>
      </w:tcPr>
    </w:tblStylePr>
    <w:tblStylePr w:type="firstCol">
      <w:rPr>
        <w:rFonts w:ascii="Arial" w:hAnsi="Arial"/>
        <w:b/>
        <w:color w:val="FFFFFF"/>
        <w:sz w:val="22"/>
      </w:rPr>
      <w:tcPr>
        <w:shd w:val="clear" w:color="FFC000" w:themeColor="accent4" w:fill="FFC000" w:themeFill="accent4"/>
      </w:tcPr>
    </w:tblStylePr>
    <w:tblStylePr w:type="lastCol">
      <w:rPr>
        <w:rFonts w:ascii="Arial" w:hAnsi="Arial"/>
        <w:b/>
        <w:color w:val="FFFFFF"/>
        <w:sz w:val="22"/>
      </w:rPr>
      <w:tcPr>
        <w:shd w:val="clear" w:color="FFC000" w:themeColor="accent4" w:fill="FFC000" w:themeFill="accent4"/>
      </w:tcPr>
    </w:tblStylePr>
    <w:tblStylePr w:type="band1Vert">
      <w:tcPr>
        <w:shd w:val="clear" w:color="FEE289" w:themeColor="accent4" w:themeTint="75" w:fill="FEE289" w:themeFill="accent4" w:themeFillTint="75"/>
      </w:tcPr>
    </w:tblStylePr>
    <w:tblStylePr w:type="band1Horz">
      <w:tcPr>
        <w:shd w:val="clear" w:color="FEE289" w:themeColor="accent4" w:themeTint="75" w:fill="FEE289" w:themeFill="accent4" w:themeFillTint="75"/>
      </w:tcPr>
    </w:tblStylePr>
  </w:style>
  <w:style w:type="table" w:customStyle="1" w:styleId="99">
    <w:name w:val="Grid Table 5 Dark - Accent 5"/>
    <w:basedOn w:val="12"/>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472C4" w:themeColor="accent5" w:fill="4472C4" w:themeFill="accent5"/>
      </w:tcPr>
    </w:tblStylePr>
    <w:tblStylePr w:type="lastRow">
      <w:rPr>
        <w:rFonts w:ascii="Arial" w:hAnsi="Arial"/>
        <w:b/>
        <w:color w:val="FFFFFF"/>
        <w:sz w:val="22"/>
      </w:rPr>
      <w:tcPr>
        <w:tcBorders>
          <w:top w:val="single" w:color="FFFFFF" w:themeColor="light1" w:sz="4" w:space="0"/>
        </w:tcBorders>
        <w:shd w:val="clear" w:color="4472C4" w:themeColor="accent5" w:fill="4472C4" w:themeFill="accent5"/>
      </w:tcPr>
    </w:tblStylePr>
    <w:tblStylePr w:type="firstCol">
      <w:rPr>
        <w:rFonts w:ascii="Arial" w:hAnsi="Arial"/>
        <w:b/>
        <w:color w:val="FFFFFF"/>
        <w:sz w:val="22"/>
      </w:rPr>
      <w:tcPr>
        <w:shd w:val="clear" w:color="4472C4" w:themeColor="accent5" w:fill="4472C4" w:themeFill="accent5"/>
      </w:tcPr>
    </w:tblStylePr>
    <w:tblStylePr w:type="lastCol">
      <w:rPr>
        <w:rFonts w:ascii="Arial" w:hAnsi="Arial"/>
        <w:b/>
        <w:color w:val="FFFFFF"/>
        <w:sz w:val="22"/>
      </w:rPr>
      <w:tcPr>
        <w:shd w:val="clear" w:color="4472C4" w:themeColor="accent5" w:fill="4472C4" w:themeFill="accent5"/>
      </w:tcPr>
    </w:tblStylePr>
    <w:tblStylePr w:type="band1Vert">
      <w:tcPr>
        <w:shd w:val="clear" w:color="A9BEE3" w:themeColor="accent5" w:themeTint="75" w:fill="A9BEE3" w:themeFill="accent5" w:themeFillTint="75"/>
      </w:tcPr>
    </w:tblStylePr>
    <w:tblStylePr w:type="band1Horz">
      <w:tcPr>
        <w:shd w:val="clear" w:color="A9BEE3" w:themeColor="accent5" w:themeTint="75" w:fill="A9BEE3" w:themeFill="accent5" w:themeFillTint="75"/>
      </w:tcPr>
    </w:tblStylePr>
  </w:style>
  <w:style w:type="table" w:customStyle="1" w:styleId="100">
    <w:name w:val="Grid Table 5 Dark - Accent 6"/>
    <w:basedOn w:val="12"/>
    <w:uiPriority w:val="99"/>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70AD47" w:themeColor="accent6" w:fill="70AD47" w:themeFill="accent6"/>
      </w:tcPr>
    </w:tblStylePr>
    <w:tblStylePr w:type="lastRow">
      <w:rPr>
        <w:rFonts w:ascii="Arial" w:hAnsi="Arial"/>
        <w:b/>
        <w:color w:val="FFFFFF"/>
        <w:sz w:val="22"/>
      </w:rPr>
      <w:tcPr>
        <w:tcBorders>
          <w:top w:val="single" w:color="FFFFFF" w:themeColor="light1" w:sz="4" w:space="0"/>
        </w:tcBorders>
        <w:shd w:val="clear" w:color="70AD47" w:themeColor="accent6" w:fill="70AD47" w:themeFill="accent6"/>
      </w:tcPr>
    </w:tblStylePr>
    <w:tblStylePr w:type="firstCol">
      <w:rPr>
        <w:rFonts w:ascii="Arial" w:hAnsi="Arial"/>
        <w:b/>
        <w:color w:val="FFFFFF"/>
        <w:sz w:val="22"/>
      </w:rPr>
      <w:tcPr>
        <w:shd w:val="clear" w:color="70AD47" w:themeColor="accent6" w:fill="70AD47" w:themeFill="accent6"/>
      </w:tcPr>
    </w:tblStylePr>
    <w:tblStylePr w:type="lastCol">
      <w:rPr>
        <w:rFonts w:ascii="Arial" w:hAnsi="Arial"/>
        <w:b/>
        <w:color w:val="FFFFFF"/>
        <w:sz w:val="22"/>
      </w:rPr>
      <w:tcPr>
        <w:shd w:val="clear" w:color="70AD47" w:themeColor="accent6" w:fill="70AD47" w:themeFill="accent6"/>
      </w:tcPr>
    </w:tblStylePr>
    <w:tblStylePr w:type="band1Vert">
      <w:tcPr>
        <w:shd w:val="clear" w:color="BCDBA8" w:themeColor="accent6" w:themeTint="75" w:fill="BCDBA8" w:themeFill="accent6" w:themeFillTint="75"/>
      </w:tcPr>
    </w:tblStylePr>
    <w:tblStylePr w:type="band1Horz">
      <w:tcPr>
        <w:shd w:val="clear" w:color="BCDBA8" w:themeColor="accent6" w:themeTint="75" w:fill="BCDBA8" w:themeFill="accent6" w:themeFillTint="75"/>
      </w:tcPr>
    </w:tblStylePr>
  </w:style>
  <w:style w:type="table" w:customStyle="1" w:styleId="101">
    <w:name w:val="Таблица-сетка 6 цветная1"/>
    <w:basedOn w:val="12"/>
    <w:uiPriority w:val="99"/>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2">
    <w:name w:val="Grid Table 6 Colorful - Accent 1"/>
    <w:basedOn w:val="12"/>
    <w:uiPriority w:val="99"/>
    <w:tblPr>
      <w:tblBorders>
        <w:top w:val="single" w:color="ACCCE9" w:themeColor="accent1" w:themeTint="80" w:sz="4" w:space="0"/>
        <w:left w:val="single" w:color="ACCCE9" w:themeColor="accent1" w:themeTint="80" w:sz="4" w:space="0"/>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b/>
        <w:color w:val="ADCDEA" w:themeColor="accent1" w:themeTint="80"/>
        <w14:textFill>
          <w14:solidFill>
            <w14:schemeClr w14:val="accent1">
              <w14:lumMod w14:val="50000"/>
              <w14:lumOff w14:val="50000"/>
            </w14:schemeClr>
          </w14:solidFill>
        </w14:textFill>
      </w:rPr>
      <w:tcPr>
        <w:tcBorders>
          <w:bottom w:val="single" w:color="ACCCE9" w:themeColor="accent1" w:themeTint="80" w:sz="12" w:space="0"/>
        </w:tcBorders>
      </w:tcPr>
    </w:tblStylePr>
    <w:tblStylePr w:type="lastRow">
      <w:rPr>
        <w:b/>
        <w:color w:val="ADCDEA" w:themeColor="accent1" w:themeTint="80"/>
        <w14:textFill>
          <w14:solidFill>
            <w14:schemeClr w14:val="accent1">
              <w14:lumMod w14:val="50000"/>
              <w14:lumOff w14:val="50000"/>
            </w14:schemeClr>
          </w14:solidFill>
        </w14:textFill>
      </w:rPr>
    </w:tblStylePr>
    <w:tblStylePr w:type="firstCol">
      <w:rPr>
        <w:b/>
        <w:color w:val="ADCDEA" w:themeColor="accent1" w:themeTint="80"/>
        <w14:textFill>
          <w14:solidFill>
            <w14:schemeClr w14:val="accent1">
              <w14:lumMod w14:val="50000"/>
              <w14:lumOff w14:val="50000"/>
            </w14:schemeClr>
          </w14:solidFill>
        </w14:textFill>
      </w:rPr>
    </w:tblStylePr>
    <w:tblStylePr w:type="lastCol">
      <w:rPr>
        <w:b/>
        <w:color w:val="ADCDEA" w:themeColor="accent1" w:themeTint="80"/>
        <w14:textFill>
          <w14:solidFill>
            <w14:schemeClr w14:val="accent1">
              <w14:lumMod w14:val="50000"/>
              <w14:lumOff w14:val="50000"/>
            </w14:schemeClr>
          </w14:solidFill>
        </w14:textFill>
      </w:rPr>
    </w:tblStylePr>
    <w:tblStylePr w:type="band1Vert">
      <w:tcPr>
        <w:shd w:val="clear" w:color="DDEAF6" w:themeColor="accent1" w:themeTint="34" w:fill="DDEAF6" w:themeFill="accent1" w:themeFillTint="34"/>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103">
    <w:name w:val="Grid Table 6 Colorful - Accent 2"/>
    <w:basedOn w:val="12"/>
    <w:uiPriority w:val="99"/>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12" w:space="0"/>
        </w:tcBorders>
      </w:tcPr>
    </w:tblStylePr>
    <w:tblStylePr w:type="lastRow">
      <w:rPr>
        <w:b/>
        <w:color w:val="F4B285" w:themeColor="accent2" w:themeTint="96"/>
        <w14:textFill>
          <w14:solidFill>
            <w14:schemeClr w14:val="accent2">
              <w14:lumMod w14:val="59000"/>
              <w14:lumOff w14:val="41000"/>
            </w14:schemeClr>
          </w14:solidFill>
        </w14:textFill>
      </w:r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04">
    <w:name w:val="Grid Table 6 Colorful - Accent 3"/>
    <w:basedOn w:val="12"/>
    <w:uiPriority w:val="99"/>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A5A5A5" w:themeColor="accent3" w:themeTint="FF"/>
        <w14:textFill>
          <w14:solidFill>
            <w14:schemeClr w14:val="accent3">
              <w14:lumMod w14:val="100000"/>
              <w14:lumOff w14:val="0"/>
            </w14:schemeClr>
          </w14:solidFill>
        </w14:textFill>
      </w:rPr>
      <w:tcPr>
        <w:tcBorders>
          <w:bottom w:val="single" w:color="A5A5A5" w:themeColor="accent3" w:themeTint="FE" w:sz="12" w:space="0"/>
        </w:tcBorders>
      </w:tcPr>
    </w:tblStylePr>
    <w:tblStylePr w:type="lastRow">
      <w:rPr>
        <w:b/>
        <w:color w:val="A5A5A5" w:themeColor="accent3" w:themeTint="FF"/>
        <w14:textFill>
          <w14:solidFill>
            <w14:schemeClr w14:val="accent3">
              <w14:lumMod w14:val="100000"/>
              <w14:lumOff w14:val="0"/>
            </w14:schemeClr>
          </w14:solidFill>
        </w14:textFill>
      </w:rPr>
    </w:tblStylePr>
    <w:tblStylePr w:type="firstCol">
      <w:rPr>
        <w:b/>
        <w:color w:val="A5A5A5" w:themeColor="accent3" w:themeTint="FF"/>
        <w14:textFill>
          <w14:solidFill>
            <w14:schemeClr w14:val="accent3">
              <w14:lumMod w14:val="100000"/>
              <w14:lumOff w14:val="0"/>
            </w14:schemeClr>
          </w14:solidFill>
        </w14:textFill>
      </w:rPr>
    </w:tblStylePr>
    <w:tblStylePr w:type="lastCol">
      <w:rPr>
        <w:b/>
        <w:color w:val="A5A5A5" w:themeColor="accent3" w:themeTint="FF"/>
        <w14:textFill>
          <w14:solidFill>
            <w14:schemeClr w14:val="accent3">
              <w14:lumMod w14:val="100000"/>
              <w14:lumOff w14:val="0"/>
            </w14:schemeClr>
          </w14:solidFill>
        </w14:textFill>
      </w:r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05">
    <w:name w:val="Grid Table 6 Colorful - Accent 4"/>
    <w:basedOn w:val="12"/>
    <w:uiPriority w:val="99"/>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12" w:space="0"/>
        </w:tcBorders>
      </w:tcPr>
    </w:tblStylePr>
    <w:tblStylePr w:type="lastRow">
      <w:rPr>
        <w:b/>
        <w:color w:val="FFD966" w:themeColor="accent4" w:themeTint="99"/>
        <w14:textFill>
          <w14:solidFill>
            <w14:schemeClr w14:val="accent4">
              <w14:lumMod w14:val="60000"/>
              <w14:lumOff w14:val="40000"/>
            </w14:schemeClr>
          </w14:solidFill>
        </w14:textFill>
      </w:r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06">
    <w:name w:val="Grid Table 6 Colorful - Accent 5"/>
    <w:basedOn w:val="12"/>
    <w:uiPriority w:val="99"/>
    <w:tblPr>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blStylePr w:type="firstRow">
      <w:rPr>
        <w:b/>
        <w:color w:val="254174" w:themeColor="accent5" w:themeShade="94"/>
      </w:rPr>
      <w:tcPr>
        <w:tcBorders>
          <w:bottom w:val="single" w:color="4472C4" w:themeColor="accent5"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D8E2F2" w:themeColor="accent5" w:themeTint="34" w:fill="D8E2F2" w:themeFill="accent5" w:themeFillTint="34"/>
      </w:tcPr>
    </w:tblStylePr>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style>
  <w:style w:type="table" w:customStyle="1" w:styleId="107">
    <w:name w:val="Grid Table 6 Colorful - Accent 6"/>
    <w:basedOn w:val="12"/>
    <w:uiPriority w:val="99"/>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val="254174" w:themeColor="accent5" w:themeShade="94"/>
      </w:rPr>
      <w:tcPr>
        <w:tcBorders>
          <w:bottom w:val="single" w:color="70AD47" w:themeColor="accent6"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E1EFD8" w:themeColor="accent6" w:themeTint="34" w:fill="E1EFD8" w:themeFill="accent6" w:themeFillTint="34"/>
      </w:tcPr>
    </w:tblStylePr>
    <w:tblStylePr w:type="band1Horz">
      <w:rPr>
        <w:rFonts w:ascii="Arial" w:hAnsi="Arial"/>
        <w:color w:val="254174" w:themeColor="accent5" w:themeShade="94"/>
        <w:sz w:val="22"/>
      </w:rPr>
      <w:tcPr>
        <w:shd w:val="clear" w:color="E1EFD8" w:themeColor="accent6" w:themeTint="34" w:fill="E1EFD8" w:themeFill="accent6" w:themeFillTint="34"/>
      </w:tcPr>
    </w:tblStylePr>
    <w:tblStylePr w:type="band2Horz">
      <w:rPr>
        <w:rFonts w:ascii="Arial" w:hAnsi="Arial"/>
        <w:color w:val="254174" w:themeColor="accent5" w:themeShade="94"/>
        <w:sz w:val="22"/>
      </w:rPr>
    </w:tblStylePr>
  </w:style>
  <w:style w:type="table" w:customStyle="1" w:styleId="108">
    <w:name w:val="Таблица-сетка 7 цветная1"/>
    <w:basedOn w:val="12"/>
    <w:uiPriority w:val="99"/>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9">
    <w:name w:val="Grid Table 7 Colorful - Accent 1"/>
    <w:basedOn w:val="12"/>
    <w:uiPriority w:val="99"/>
    <w:tblPr>
      <w:tblBorders>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rFonts w:ascii="Arial" w:hAnsi="Arial"/>
        <w:b/>
        <w:color w:val="ADCDEA" w:themeColor="accent1" w:themeTint="80"/>
        <w:sz w:val="22"/>
        <w14:textFill>
          <w14:solidFill>
            <w14:schemeClr w14:val="accent1">
              <w14:lumMod w14:val="50000"/>
              <w14:lumOff w14:val="50000"/>
            </w14:schemeClr>
          </w14:solidFill>
        </w14:textFill>
      </w:rPr>
      <w:tcPr>
        <w:tcBorders>
          <w:top w:val="nil"/>
          <w:left w:val="nil"/>
          <w:bottom w:val="single" w:color="ACCCE9" w:themeColor="accent1" w:themeTint="80" w:sz="4" w:space="0"/>
          <w:right w:val="nil"/>
        </w:tcBorders>
        <w:shd w:val="clear" w:color="FFFFFF" w:themeColor="light1" w:fill="FFFFFF" w:themeFill="light1"/>
      </w:tcPr>
    </w:tblStylePr>
    <w:tblStylePr w:type="lastRow">
      <w:rPr>
        <w:rFonts w:ascii="Arial" w:hAnsi="Arial"/>
        <w:b/>
        <w:color w:val="ADCDEA" w:themeColor="accent1" w:themeTint="80"/>
        <w:sz w:val="22"/>
        <w14:textFill>
          <w14:solidFill>
            <w14:schemeClr w14:val="accent1">
              <w14:lumMod w14:val="50000"/>
              <w14:lumOff w14:val="50000"/>
            </w14:schemeClr>
          </w14:solidFill>
        </w14:textFill>
      </w:rPr>
      <w:tcPr>
        <w:tcBorders>
          <w:top w:val="single" w:color="ACCCE9"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nil"/>
          <w:bottom w:val="nil"/>
          <w:right w:val="single" w:color="ACCCE9" w:themeColor="accent1" w:themeTint="80" w:sz="4" w:space="0"/>
        </w:tcBorders>
        <w:shd w:val="clear" w:color="FFFFFF" w:fill="auto"/>
      </w:tcPr>
    </w:tblStylePr>
    <w:tblStylePr w:type="lastCol">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single" w:color="ACCCE9" w:themeColor="accent1" w:themeTint="80" w:sz="4" w:space="0"/>
          <w:bottom w:val="nil"/>
          <w:right w:val="nil"/>
        </w:tcBorders>
        <w:shd w:val="clear" w:color="FFFFFF" w:fill="auto"/>
      </w:tcPr>
    </w:tblStylePr>
    <w:tblStylePr w:type="band1Vert">
      <w:tcPr>
        <w:shd w:val="clear" w:color="DDEAF6" w:themeColor="accent1" w:themeTint="34" w:fill="DDEAF6" w:themeFill="accent1" w:themeFillTint="34"/>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110">
    <w:name w:val="Grid Table 7 Colorful - Accent 2"/>
    <w:basedOn w:val="12"/>
    <w:uiPriority w:val="99"/>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rFonts w:ascii="Arial" w:hAnsi="Arial"/>
        <w:b/>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11">
    <w:name w:val="Grid Table 7 Colorful - Accent 3"/>
    <w:basedOn w:val="12"/>
    <w:uiPriority w:val="99"/>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rFonts w:ascii="Arial" w:hAnsi="Arial"/>
        <w:b/>
        <w:color w:val="A5A5A5" w:themeColor="accent3" w:themeTint="FF"/>
        <w:sz w:val="22"/>
        <w14:textFill>
          <w14:solidFill>
            <w14:schemeClr w14:val="accent3">
              <w14:lumMod w14:val="100000"/>
              <w14:lumOff w14:val="0"/>
            </w14:schemeClr>
          </w14:solidFill>
        </w14:textFill>
      </w:rPr>
      <w:tcPr>
        <w:tcBorders>
          <w:top w:val="nil"/>
          <w:left w:val="nil"/>
          <w:bottom w:val="single" w:color="A5A5A5" w:themeColor="accent3" w:themeTint="FE" w:sz="4" w:space="0"/>
          <w:right w:val="nil"/>
        </w:tcBorders>
        <w:shd w:val="clear" w:color="FFFFFF" w:themeColor="light1" w:fill="FFFFFF" w:themeFill="light1"/>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tcPr>
        <w:tcBorders>
          <w:top w:val="single" w:color="A5A5A5"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A5A5A5" w:themeColor="accent3" w:themeTint="FF"/>
        <w:sz w:val="22"/>
        <w14:textFill>
          <w14:solidFill>
            <w14:schemeClr w14:val="accent3">
              <w14:lumMod w14:val="100000"/>
              <w14:lumOff w14:val="0"/>
            </w14:schemeClr>
          </w14:solidFill>
        </w14:textFill>
      </w:rPr>
      <w:tcPr>
        <w:tcBorders>
          <w:top w:val="nil"/>
          <w:left w:val="nil"/>
          <w:bottom w:val="nil"/>
          <w:right w:val="single" w:color="A5A5A5" w:themeColor="accent3" w:themeTint="FE" w:sz="4" w:space="0"/>
        </w:tcBorders>
        <w:shd w:val="clear" w:color="FFFFFF" w:fill="auto"/>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tcPr>
        <w:tcBorders>
          <w:top w:val="nil"/>
          <w:left w:val="single" w:color="A5A5A5" w:themeColor="accent3" w:themeTint="FE" w:sz="4" w:space="0"/>
          <w:bottom w:val="nil"/>
          <w:right w:val="nil"/>
        </w:tcBorders>
        <w:shd w:val="clear" w:color="FFFFFF" w:fill="auto"/>
      </w:tc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12">
    <w:name w:val="Grid Table 7 Colorful - Accent 4"/>
    <w:basedOn w:val="12"/>
    <w:uiPriority w:val="99"/>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rFonts w:ascii="Arial" w:hAnsi="Arial"/>
        <w:b/>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13">
    <w:name w:val="Grid Table 7 Colorful - Accent 5"/>
    <w:basedOn w:val="12"/>
    <w:uiPriority w:val="99"/>
    <w:tblPr>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254174" w:themeColor="accent5" w:themeShade="94"/>
        <w:sz w:val="22"/>
      </w:rPr>
      <w:tcPr>
        <w:tcBorders>
          <w:top w:val="nil"/>
          <w:left w:val="nil"/>
          <w:bottom w:val="single" w:color="95AFDD" w:themeColor="accent5" w:themeTint="90" w:sz="4" w:space="0"/>
          <w:right w:val="nil"/>
        </w:tcBorders>
        <w:shd w:val="clear" w:color="FFFFFF" w:themeColor="light1" w:fill="FFFFFF" w:themeFill="light1"/>
      </w:tcPr>
    </w:tblStylePr>
    <w:tblStylePr w:type="lastRow">
      <w:rPr>
        <w:rFonts w:ascii="Arial" w:hAnsi="Arial"/>
        <w:b/>
        <w:color w:val="254174" w:themeColor="accent5" w:themeShade="94"/>
        <w:sz w:val="22"/>
      </w:rPr>
      <w:tcPr>
        <w:tcBorders>
          <w:top w:val="single" w:color="95AFDD"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54174" w:themeColor="accent5" w:themeShade="94"/>
        <w:sz w:val="22"/>
      </w:rPr>
      <w:tcPr>
        <w:tcBorders>
          <w:top w:val="nil"/>
          <w:left w:val="nil"/>
          <w:bottom w:val="nil"/>
          <w:right w:val="single" w:color="95AFDD" w:themeColor="accent5" w:themeTint="90" w:sz="4" w:space="0"/>
        </w:tcBorders>
        <w:shd w:val="clear" w:color="FFFFFF" w:fill="auto"/>
      </w:tcPr>
    </w:tblStylePr>
    <w:tblStylePr w:type="lastCol">
      <w:rPr>
        <w:rFonts w:ascii="Arial" w:hAnsi="Arial"/>
        <w:i/>
        <w:color w:val="254174" w:themeColor="accent5" w:themeShade="94"/>
        <w:sz w:val="22"/>
      </w:rPr>
      <w:tcPr>
        <w:tcBorders>
          <w:top w:val="nil"/>
          <w:left w:val="single" w:color="95AFDD" w:themeColor="accent5" w:themeTint="90" w:sz="4" w:space="0"/>
          <w:bottom w:val="nil"/>
          <w:right w:val="nil"/>
        </w:tcBorders>
        <w:shd w:val="clear" w:color="FFFFFF" w:fill="auto"/>
      </w:tcPr>
    </w:tblStylePr>
    <w:tblStylePr w:type="band1Vert">
      <w:tcPr>
        <w:shd w:val="clear" w:color="D8E2F2" w:themeColor="accent5" w:themeTint="34" w:fill="D8E2F2" w:themeFill="accent5" w:themeFillTint="34"/>
      </w:tcPr>
    </w:tblStylePr>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style>
  <w:style w:type="table" w:customStyle="1" w:styleId="114">
    <w:name w:val="Grid Table 7 Colorful - Accent 6"/>
    <w:basedOn w:val="12"/>
    <w:uiPriority w:val="99"/>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416429" w:themeColor="accent6" w:themeShade="94"/>
        <w:sz w:val="22"/>
      </w:rPr>
      <w:tcPr>
        <w:tcBorders>
          <w:top w:val="nil"/>
          <w:left w:val="nil"/>
          <w:bottom w:val="single" w:color="ADD394" w:themeColor="accent6" w:themeTint="90" w:sz="4" w:space="0"/>
          <w:right w:val="nil"/>
        </w:tcBorders>
        <w:shd w:val="clear" w:color="FFFFFF" w:themeColor="light1" w:fill="FFFFFF" w:themeFill="light1"/>
      </w:tcPr>
    </w:tblStylePr>
    <w:tblStylePr w:type="lastRow">
      <w:rPr>
        <w:rFonts w:ascii="Arial" w:hAnsi="Arial"/>
        <w:b/>
        <w:color w:val="416429" w:themeColor="accent6" w:themeShade="94"/>
        <w:sz w:val="22"/>
      </w:rPr>
      <w:tcPr>
        <w:tcBorders>
          <w:top w:val="single" w:color="ADD394"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416429" w:themeColor="accent6" w:themeShade="94"/>
        <w:sz w:val="22"/>
      </w:rPr>
      <w:tcPr>
        <w:tcBorders>
          <w:top w:val="nil"/>
          <w:left w:val="nil"/>
          <w:bottom w:val="nil"/>
          <w:right w:val="single" w:color="ADD394" w:themeColor="accent6" w:themeTint="90" w:sz="4" w:space="0"/>
        </w:tcBorders>
        <w:shd w:val="clear" w:color="FFFFFF" w:fill="auto"/>
      </w:tcPr>
    </w:tblStylePr>
    <w:tblStylePr w:type="lastCol">
      <w:rPr>
        <w:rFonts w:ascii="Arial" w:hAnsi="Arial"/>
        <w:i/>
        <w:color w:val="416429" w:themeColor="accent6" w:themeShade="94"/>
        <w:sz w:val="22"/>
      </w:rPr>
      <w:tcPr>
        <w:tcBorders>
          <w:top w:val="nil"/>
          <w:left w:val="single" w:color="ADD394" w:themeColor="accent6" w:themeTint="90" w:sz="4" w:space="0"/>
          <w:bottom w:val="nil"/>
          <w:right w:val="nil"/>
        </w:tcBorders>
        <w:shd w:val="clear" w:color="FFFFFF" w:fill="auto"/>
      </w:tcPr>
    </w:tblStylePr>
    <w:tblStylePr w:type="band1Vert">
      <w:tcPr>
        <w:shd w:val="clear" w:color="E1EFD8" w:themeColor="accent6" w:themeTint="34" w:fill="E1EFD8" w:themeFill="accent6" w:themeFillTint="34"/>
      </w:tcPr>
    </w:tblStylePr>
    <w:tblStylePr w:type="band1Horz">
      <w:rPr>
        <w:rFonts w:ascii="Arial" w:hAnsi="Arial"/>
        <w:color w:val="416429" w:themeColor="accent6" w:themeShade="94"/>
        <w:sz w:val="22"/>
      </w:rPr>
      <w:tcPr>
        <w:shd w:val="clear" w:color="E1EFD8" w:themeColor="accent6" w:themeTint="34" w:fill="E1EFD8" w:themeFill="accent6" w:themeFillTint="34"/>
      </w:tcPr>
    </w:tblStylePr>
    <w:tblStylePr w:type="band2Horz">
      <w:rPr>
        <w:rFonts w:ascii="Arial" w:hAnsi="Arial"/>
        <w:color w:val="416429" w:themeColor="accent6" w:themeShade="94"/>
        <w:sz w:val="22"/>
      </w:rPr>
    </w:tblStylePr>
  </w:style>
  <w:style w:type="table" w:customStyle="1" w:styleId="115">
    <w:name w:val="Список-таблица 1 светлая1"/>
    <w:basedOn w:val="12"/>
    <w:uiPriority w:val="99"/>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1Horz">
      <w:tcPr>
        <w:shd w:val="clear" w:color="BEBEBE" w:themeColor="text1" w:themeTint="40" w:fill="BEBEBE" w:themeFill="text1" w:themeFillTint="40"/>
      </w:tcPr>
    </w:tblStylePr>
  </w:style>
  <w:style w:type="table" w:customStyle="1" w:styleId="116">
    <w:name w:val="List Table 1 Light - Accent 1"/>
    <w:basedOn w:val="12"/>
    <w:uiPriority w:val="99"/>
    <w:tblStylePr w:type="firstRow">
      <w:rPr>
        <w:b/>
        <w:color w:val="404040"/>
      </w:rPr>
      <w:tcPr>
        <w:tcBorders>
          <w:top w:val="nil"/>
          <w:left w:val="nil"/>
          <w:bottom w:val="single" w:color="5B9BD5" w:themeColor="accent1" w:sz="4" w:space="0"/>
          <w:right w:val="nil"/>
        </w:tcBorders>
      </w:tcPr>
    </w:tblStylePr>
    <w:tblStylePr w:type="lastRow">
      <w:rPr>
        <w:b/>
        <w:color w:val="404040"/>
      </w:rPr>
      <w:tcPr>
        <w:tcBorders>
          <w:top w:val="single" w:color="5B9BD5"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themeColor="accent1" w:themeTint="40" w:fill="D5E5F4" w:themeFill="accent1" w:themeFillTint="40"/>
      </w:tcPr>
    </w:tblStylePr>
    <w:tblStylePr w:type="band1Horz">
      <w:tcPr>
        <w:shd w:val="clear" w:color="D5E5F4" w:themeColor="accent1" w:themeTint="40" w:fill="D5E5F4" w:themeFill="accent1" w:themeFillTint="40"/>
      </w:tcPr>
    </w:tblStylePr>
  </w:style>
  <w:style w:type="table" w:customStyle="1" w:styleId="117">
    <w:name w:val="List Table 1 Light - Accent 2"/>
    <w:basedOn w:val="12"/>
    <w:uiPriority w:val="99"/>
    <w:tblStylePr w:type="firstRow">
      <w:rPr>
        <w:b/>
        <w:color w:val="404040"/>
      </w:rPr>
      <w:tcPr>
        <w:tcBorders>
          <w:top w:val="nil"/>
          <w:left w:val="nil"/>
          <w:bottom w:val="single" w:color="ED7D31" w:themeColor="accent2" w:sz="4" w:space="0"/>
          <w:right w:val="nil"/>
        </w:tcBorders>
      </w:tcPr>
    </w:tblStylePr>
    <w:tblStylePr w:type="lastRow">
      <w:rPr>
        <w:b/>
        <w:color w:val="404040"/>
      </w:rPr>
      <w:tcPr>
        <w:tcBorders>
          <w:top w:val="single" w:color="ED7D31"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themeColor="accent2" w:themeTint="40" w:fill="FADECB" w:themeFill="accent2" w:themeFillTint="40"/>
      </w:tcPr>
    </w:tblStylePr>
    <w:tblStylePr w:type="band1Horz">
      <w:tcPr>
        <w:shd w:val="clear" w:color="FADECB" w:themeColor="accent2" w:themeTint="40" w:fill="FADECB" w:themeFill="accent2" w:themeFillTint="40"/>
      </w:tcPr>
    </w:tblStylePr>
  </w:style>
  <w:style w:type="table" w:customStyle="1" w:styleId="118">
    <w:name w:val="List Table 1 Light - Accent 3"/>
    <w:basedOn w:val="12"/>
    <w:uiPriority w:val="99"/>
    <w:tblStylePr w:type="firstRow">
      <w:rPr>
        <w:b/>
        <w:color w:val="404040"/>
      </w:rPr>
      <w:tcPr>
        <w:tcBorders>
          <w:top w:val="nil"/>
          <w:left w:val="nil"/>
          <w:bottom w:val="single" w:color="A5A5A5" w:themeColor="accent3" w:sz="4" w:space="0"/>
          <w:right w:val="nil"/>
        </w:tcBorders>
      </w:tcPr>
    </w:tblStylePr>
    <w:tblStylePr w:type="lastRow">
      <w:rPr>
        <w:b/>
        <w:color w:val="404040"/>
      </w:rPr>
      <w:tcPr>
        <w:tcBorders>
          <w:top w:val="single" w:color="A5A5A5"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themeColor="accent3" w:themeTint="40" w:fill="E8E8E8" w:themeFill="accent3" w:themeFillTint="40"/>
      </w:tcPr>
    </w:tblStylePr>
    <w:tblStylePr w:type="band1Horz">
      <w:tcPr>
        <w:shd w:val="clear" w:color="E8E8E8" w:themeColor="accent3" w:themeTint="40" w:fill="E8E8E8" w:themeFill="accent3" w:themeFillTint="40"/>
      </w:tcPr>
    </w:tblStylePr>
  </w:style>
  <w:style w:type="table" w:customStyle="1" w:styleId="119">
    <w:name w:val="List Table 1 Light - Accent 4"/>
    <w:basedOn w:val="12"/>
    <w:uiPriority w:val="99"/>
    <w:tblStylePr w:type="firstRow">
      <w:rPr>
        <w:b/>
        <w:color w:val="404040"/>
      </w:rPr>
      <w:tcPr>
        <w:tcBorders>
          <w:top w:val="nil"/>
          <w:left w:val="nil"/>
          <w:bottom w:val="single" w:color="FFC000" w:themeColor="accent4" w:sz="4" w:space="0"/>
          <w:right w:val="nil"/>
        </w:tcBorders>
      </w:tcPr>
    </w:tblStylePr>
    <w:tblStylePr w:type="lastRow">
      <w:rPr>
        <w:b/>
        <w:color w:val="404040"/>
      </w:rPr>
      <w:tcPr>
        <w:tcBorders>
          <w:top w:val="single" w:color="FFC000"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E" w:themeColor="accent4" w:themeTint="40" w:fill="FFEFBE" w:themeFill="accent4" w:themeFillTint="40"/>
      </w:tcPr>
    </w:tblStylePr>
    <w:tblStylePr w:type="band1Horz">
      <w:tcPr>
        <w:shd w:val="clear" w:color="FFEFBE" w:themeColor="accent4" w:themeTint="40" w:fill="FFEFBE" w:themeFill="accent4" w:themeFillTint="40"/>
      </w:tcPr>
    </w:tblStylePr>
  </w:style>
  <w:style w:type="table" w:customStyle="1" w:styleId="120">
    <w:name w:val="List Table 1 Light - Accent 5"/>
    <w:basedOn w:val="12"/>
    <w:uiPriority w:val="99"/>
    <w:tblStylePr w:type="firstRow">
      <w:rPr>
        <w:b/>
        <w:color w:val="404040"/>
      </w:rPr>
      <w:tcPr>
        <w:tcBorders>
          <w:top w:val="nil"/>
          <w:left w:val="nil"/>
          <w:bottom w:val="single" w:color="4472C4" w:themeColor="accent5" w:sz="4" w:space="0"/>
          <w:right w:val="nil"/>
        </w:tcBorders>
      </w:tcPr>
    </w:tblStylePr>
    <w:tblStylePr w:type="lastRow">
      <w:rPr>
        <w:b/>
        <w:color w:val="404040"/>
      </w:rPr>
      <w:tcPr>
        <w:tcBorders>
          <w:top w:val="single" w:color="4472C4"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0DBF0" w:themeColor="accent5" w:themeTint="40" w:fill="D0DBF0" w:themeFill="accent5" w:themeFillTint="40"/>
      </w:tcPr>
    </w:tblStylePr>
    <w:tblStylePr w:type="band1Horz">
      <w:tcPr>
        <w:shd w:val="clear" w:color="D0DBF0" w:themeColor="accent5" w:themeTint="40" w:fill="D0DBF0" w:themeFill="accent5" w:themeFillTint="40"/>
      </w:tcPr>
    </w:tblStylePr>
  </w:style>
  <w:style w:type="table" w:customStyle="1" w:styleId="121">
    <w:name w:val="List Table 1 Light - Accent 6"/>
    <w:basedOn w:val="12"/>
    <w:uiPriority w:val="99"/>
    <w:tblStylePr w:type="firstRow">
      <w:rPr>
        <w:b/>
        <w:color w:val="404040"/>
      </w:rPr>
      <w:tcPr>
        <w:tcBorders>
          <w:top w:val="nil"/>
          <w:left w:val="nil"/>
          <w:bottom w:val="single" w:color="70AD47" w:themeColor="accent6" w:sz="4" w:space="0"/>
          <w:right w:val="nil"/>
        </w:tcBorders>
      </w:tcPr>
    </w:tblStylePr>
    <w:tblStylePr w:type="lastRow">
      <w:rPr>
        <w:b/>
        <w:color w:val="404040"/>
      </w:rPr>
      <w:tcPr>
        <w:tcBorders>
          <w:top w:val="single" w:color="70AD47"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themeColor="accent6" w:themeTint="40" w:fill="DAEBCF" w:themeFill="accent6" w:themeFillTint="40"/>
      </w:tcPr>
    </w:tblStylePr>
    <w:tblStylePr w:type="band1Horz">
      <w:tcPr>
        <w:shd w:val="clear" w:color="DAEBCF" w:themeColor="accent6" w:themeTint="40" w:fill="DAEBCF" w:themeFill="accent6" w:themeFillTint="40"/>
      </w:tcPr>
    </w:tblStylePr>
  </w:style>
  <w:style w:type="table" w:customStyle="1" w:styleId="122">
    <w:name w:val="Список-таблица 21"/>
    <w:basedOn w:val="12"/>
    <w:uiPriority w:val="99"/>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23">
    <w:name w:val="List Table 2 - Accent 1"/>
    <w:basedOn w:val="12"/>
    <w:uiPriority w:val="99"/>
    <w:tblPr>
      <w:tblBorders>
        <w:top w:val="single" w:color="A2C6E7" w:themeColor="accent1" w:themeTint="90" w:sz="4" w:space="0"/>
        <w:bottom w:val="single" w:color="A2C6E7" w:themeColor="accent1" w:themeTint="90" w:sz="4" w:space="0"/>
        <w:insideH w:val="single" w:color="A2C6E7" w:themeColor="accent1" w:themeTint="90" w:sz="4" w:space="0"/>
      </w:tblBorders>
    </w:tblPr>
    <w:tblStylePr w:type="fir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la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themeColor="accent1" w:themeTint="40" w:fill="D5E5F4" w:themeFill="accent1" w:themeFillTint="40"/>
      </w:tcPr>
    </w:tblStylePr>
    <w:tblStylePr w:type="band1Horz">
      <w:rPr>
        <w:rFonts w:ascii="Arial" w:hAnsi="Arial"/>
        <w:color w:val="404040"/>
        <w:sz w:val="22"/>
      </w:rPr>
      <w:tcPr>
        <w:shd w:val="clear" w:color="D5E5F4" w:themeColor="accent1" w:themeTint="40" w:fill="D5E5F4" w:themeFill="accent1" w:themeFillTint="40"/>
      </w:tcPr>
    </w:tblStylePr>
  </w:style>
  <w:style w:type="table" w:customStyle="1" w:styleId="124">
    <w:name w:val="List Table 2 - Accent 2"/>
    <w:basedOn w:val="12"/>
    <w:uiPriority w:val="99"/>
    <w:tblPr>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la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25">
    <w:name w:val="List Table 2 - Accent 3"/>
    <w:basedOn w:val="12"/>
    <w:uiPriority w:val="99"/>
    <w:tblPr>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la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26">
    <w:name w:val="List Table 2 - Accent 4"/>
    <w:basedOn w:val="12"/>
    <w:uiPriority w:val="99"/>
    <w:tblPr>
      <w:tblBorders>
        <w:top w:val="single" w:color="FFDB6E" w:themeColor="accent4" w:themeTint="90" w:sz="4" w:space="0"/>
        <w:bottom w:val="single" w:color="FFDB6E" w:themeColor="accent4" w:themeTint="90" w:sz="4" w:space="0"/>
        <w:insideH w:val="single" w:color="FFDB6E" w:themeColor="accent4" w:themeTint="90" w:sz="4" w:space="0"/>
      </w:tblBorders>
    </w:tblPr>
    <w:tblStylePr w:type="fir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la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27">
    <w:name w:val="List Table 2 - Accent 5"/>
    <w:basedOn w:val="12"/>
    <w:uiPriority w:val="99"/>
    <w:tblPr>
      <w:tblBorders>
        <w:top w:val="single" w:color="95AFDD" w:themeColor="accent5" w:themeTint="90" w:sz="4" w:space="0"/>
        <w:bottom w:val="single" w:color="95AFDD" w:themeColor="accent5" w:themeTint="90" w:sz="4" w:space="0"/>
        <w:insideH w:val="single" w:color="95AFDD" w:themeColor="accent5" w:themeTint="90" w:sz="4" w:space="0"/>
      </w:tblBorders>
    </w:tblPr>
    <w:tblStylePr w:type="fir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la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0DBF0" w:themeColor="accent5" w:themeTint="40" w:fill="D0DBF0" w:themeFill="accent5" w:themeFillTint="40"/>
      </w:tcPr>
    </w:tblStylePr>
    <w:tblStylePr w:type="band1Horz">
      <w:rPr>
        <w:rFonts w:ascii="Arial" w:hAnsi="Arial"/>
        <w:color w:val="404040"/>
        <w:sz w:val="22"/>
      </w:rPr>
      <w:tcPr>
        <w:shd w:val="clear" w:color="D0DBF0" w:themeColor="accent5" w:themeTint="40" w:fill="D0DBF0" w:themeFill="accent5" w:themeFillTint="40"/>
      </w:tcPr>
    </w:tblStylePr>
  </w:style>
  <w:style w:type="table" w:customStyle="1" w:styleId="128">
    <w:name w:val="List Table 2 - Accent 6"/>
    <w:basedOn w:val="12"/>
    <w:uiPriority w:val="99"/>
    <w:tblPr>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la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29">
    <w:name w:val="Список-таблица 31"/>
    <w:basedOn w:val="12"/>
    <w:uiPriority w:val="99"/>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30">
    <w:name w:val="List Table 3 - Accent 1"/>
    <w:basedOn w:val="12"/>
    <w:uiPriority w:val="99"/>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themeColor="accent1" w:sz="4" w:space="0"/>
          <w:right w:val="single" w:color="5B9BD5" w:themeColor="accent1" w:sz="4" w:space="0"/>
        </w:tcBorders>
      </w:tcPr>
    </w:tblStylePr>
    <w:tblStylePr w:type="band1Horz">
      <w:rPr>
        <w:rFonts w:ascii="Arial" w:hAnsi="Arial"/>
        <w:color w:val="404040"/>
        <w:sz w:val="22"/>
      </w:rPr>
      <w:tcPr>
        <w:tcBorders>
          <w:top w:val="single" w:color="5B9BD5" w:themeColor="accent1" w:sz="4" w:space="0"/>
          <w:bottom w:val="single" w:color="5B9BD5" w:themeColor="accent1" w:sz="4" w:space="0"/>
        </w:tcBorders>
      </w:tcPr>
    </w:tblStylePr>
  </w:style>
  <w:style w:type="table" w:customStyle="1" w:styleId="131">
    <w:name w:val="List Table 3 - Accent 2"/>
    <w:basedOn w:val="12"/>
    <w:uiPriority w:val="99"/>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blStylePr w:type="firstRow">
      <w:rPr>
        <w:rFonts w:ascii="Arial" w:hAnsi="Arial"/>
        <w:b/>
        <w:color w:val="FFFFFF"/>
        <w:sz w:val="22"/>
      </w:rPr>
      <w:tcPr>
        <w:shd w:val="clear" w:color="F4B285" w:themeColor="accent2" w:themeTint="97" w:fill="F4B2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285" w:themeColor="accent2" w:themeTint="97" w:sz="4" w:space="0"/>
          <w:right w:val="single" w:color="F4B285" w:themeColor="accent2" w:themeTint="97" w:sz="4" w:space="0"/>
        </w:tcBorders>
      </w:tcPr>
    </w:tblStylePr>
    <w:tblStylePr w:type="band1Horz">
      <w:rPr>
        <w:rFonts w:ascii="Arial" w:hAnsi="Arial"/>
        <w:color w:val="404040"/>
        <w:sz w:val="22"/>
      </w:rPr>
      <w:tcPr>
        <w:tcBorders>
          <w:top w:val="single" w:color="F4B285" w:themeColor="accent2" w:themeTint="97" w:sz="4" w:space="0"/>
          <w:bottom w:val="single" w:color="F4B285" w:themeColor="accent2" w:themeTint="97" w:sz="4" w:space="0"/>
        </w:tcBorders>
      </w:tcPr>
    </w:tblStylePr>
  </w:style>
  <w:style w:type="table" w:customStyle="1" w:styleId="132">
    <w:name w:val="List Table 3 - Accent 3"/>
    <w:basedOn w:val="12"/>
    <w:uiPriority w:val="99"/>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rFonts w:ascii="Arial" w:hAnsi="Arial"/>
        <w:b/>
        <w:color w:val="FFFFFF"/>
        <w:sz w:val="22"/>
      </w:r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themeColor="accent3" w:themeTint="98" w:sz="4" w:space="0"/>
          <w:right w:val="single" w:color="C9C9C9" w:themeColor="accent3" w:themeTint="98" w:sz="4" w:space="0"/>
        </w:tcBorders>
      </w:tcPr>
    </w:tblStylePr>
    <w:tblStylePr w:type="band1Horz">
      <w:rPr>
        <w:rFonts w:ascii="Arial" w:hAnsi="Arial"/>
        <w:color w:val="404040"/>
        <w:sz w:val="22"/>
      </w:rPr>
      <w:tcPr>
        <w:tcBorders>
          <w:top w:val="single" w:color="C9C9C9" w:themeColor="accent3" w:themeTint="98" w:sz="4" w:space="0"/>
          <w:bottom w:val="single" w:color="C9C9C9" w:themeColor="accent3" w:themeTint="98" w:sz="4" w:space="0"/>
        </w:tcBorders>
      </w:tcPr>
    </w:tblStylePr>
  </w:style>
  <w:style w:type="table" w:customStyle="1" w:styleId="133">
    <w:name w:val="List Table 3 - Accent 4"/>
    <w:basedOn w:val="12"/>
    <w:uiPriority w:val="99"/>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blStylePr w:type="firstRow">
      <w:rPr>
        <w:rFonts w:ascii="Arial" w:hAnsi="Arial"/>
        <w:b/>
        <w:color w:val="FFFFFF"/>
        <w:sz w:val="22"/>
      </w:rPr>
      <w:tcPr>
        <w:shd w:val="clear" w:color="FFD864" w:themeColor="accent4" w:themeTint="9A" w:fill="FFD864"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4" w:themeColor="accent4" w:themeTint="9A" w:sz="4" w:space="0"/>
          <w:right w:val="single" w:color="FFD864" w:themeColor="accent4" w:themeTint="9A" w:sz="4" w:space="0"/>
        </w:tcBorders>
      </w:tcPr>
    </w:tblStylePr>
    <w:tblStylePr w:type="band1Horz">
      <w:rPr>
        <w:rFonts w:ascii="Arial" w:hAnsi="Arial"/>
        <w:color w:val="404040"/>
        <w:sz w:val="22"/>
      </w:rPr>
      <w:tcPr>
        <w:tcBorders>
          <w:top w:val="single" w:color="FFD864" w:themeColor="accent4" w:themeTint="9A" w:sz="4" w:space="0"/>
          <w:bottom w:val="single" w:color="FFD864" w:themeColor="accent4" w:themeTint="9A" w:sz="4" w:space="0"/>
        </w:tcBorders>
      </w:tcPr>
    </w:tblStylePr>
  </w:style>
  <w:style w:type="table" w:customStyle="1" w:styleId="134">
    <w:name w:val="List Table 3 - Accent 5"/>
    <w:basedOn w:val="12"/>
    <w:uiPriority w:val="99"/>
    <w:tblPr>
      <w:tblBorders>
        <w:top w:val="single" w:color="8EA9DB" w:themeColor="accent5" w:themeTint="9A" w:sz="4" w:space="0"/>
        <w:left w:val="single" w:color="8EA9DB" w:themeColor="accent5" w:themeTint="9A" w:sz="4" w:space="0"/>
        <w:bottom w:val="single" w:color="8EA9DB" w:themeColor="accent5" w:themeTint="9A" w:sz="4" w:space="0"/>
        <w:right w:val="single" w:color="8EA9DB" w:themeColor="accent5" w:themeTint="9A" w:sz="4" w:space="0"/>
      </w:tblBorders>
    </w:tblPr>
    <w:tblStylePr w:type="firstRow">
      <w:rPr>
        <w:rFonts w:ascii="Arial" w:hAnsi="Arial"/>
        <w:b/>
        <w:color w:val="FFFFFF"/>
        <w:sz w:val="22"/>
      </w:rPr>
      <w:tcPr>
        <w:shd w:val="clear" w:color="8EA9DB" w:themeColor="accent5" w:themeTint="9A" w:fill="8E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EA9DB" w:themeColor="accent5" w:themeTint="9A" w:sz="4" w:space="0"/>
          <w:right w:val="single" w:color="8EA9DB" w:themeColor="accent5" w:themeTint="9A" w:sz="4" w:space="0"/>
        </w:tcBorders>
      </w:tcPr>
    </w:tblStylePr>
    <w:tblStylePr w:type="band1Horz">
      <w:rPr>
        <w:rFonts w:ascii="Arial" w:hAnsi="Arial"/>
        <w:color w:val="404040"/>
        <w:sz w:val="22"/>
      </w:rPr>
      <w:tcPr>
        <w:tcBorders>
          <w:top w:val="single" w:color="8EA9DB" w:themeColor="accent5" w:themeTint="9A" w:sz="4" w:space="0"/>
          <w:bottom w:val="single" w:color="8EA9DB" w:themeColor="accent5" w:themeTint="9A" w:sz="4" w:space="0"/>
        </w:tcBorders>
      </w:tcPr>
    </w:tblStylePr>
  </w:style>
  <w:style w:type="table" w:customStyle="1" w:styleId="135">
    <w:name w:val="List Table 3 - Accent 6"/>
    <w:basedOn w:val="12"/>
    <w:uiPriority w:val="99"/>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rFonts w:ascii="Arial" w:hAnsi="Arial"/>
        <w:b/>
        <w:color w:val="FFFFFF"/>
        <w:sz w:val="22"/>
      </w:r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themeColor="accent6" w:themeTint="98" w:sz="4" w:space="0"/>
          <w:right w:val="single" w:color="A9D08E" w:themeColor="accent6" w:themeTint="98" w:sz="4" w:space="0"/>
        </w:tcBorders>
      </w:tcPr>
    </w:tblStylePr>
    <w:tblStylePr w:type="band1Horz">
      <w:rPr>
        <w:rFonts w:ascii="Arial" w:hAnsi="Arial"/>
        <w:color w:val="404040"/>
        <w:sz w:val="22"/>
      </w:rPr>
      <w:tcPr>
        <w:tcBorders>
          <w:top w:val="single" w:color="A9D08E" w:themeColor="accent6" w:themeTint="98" w:sz="4" w:space="0"/>
          <w:bottom w:val="single" w:color="A9D08E" w:themeColor="accent6" w:themeTint="98" w:sz="4" w:space="0"/>
        </w:tcBorders>
      </w:tcPr>
    </w:tblStylePr>
  </w:style>
  <w:style w:type="table" w:customStyle="1" w:styleId="136">
    <w:name w:val="Список-таблица 41"/>
    <w:basedOn w:val="12"/>
    <w:uiPriority w:val="9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37">
    <w:name w:val="List Table 4 - Accent 1"/>
    <w:basedOn w:val="12"/>
    <w:uiPriority w:val="99"/>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themeColor="accent1" w:themeTint="40" w:fill="D5E5F4" w:themeFill="accent1" w:themeFillTint="40"/>
      </w:tcPr>
    </w:tblStylePr>
    <w:tblStylePr w:type="band1Horz">
      <w:rPr>
        <w:rFonts w:ascii="Arial" w:hAnsi="Arial"/>
        <w:color w:val="404040"/>
        <w:sz w:val="22"/>
      </w:rPr>
      <w:tcPr>
        <w:shd w:val="clear" w:color="D5E5F4" w:themeColor="accent1" w:themeTint="40" w:fill="D5E5F4" w:themeFill="accent1" w:themeFillTint="40"/>
      </w:tcPr>
    </w:tblStylePr>
  </w:style>
  <w:style w:type="table" w:customStyle="1" w:styleId="138">
    <w:name w:val="List Table 4 - Accent 2"/>
    <w:basedOn w:val="12"/>
    <w:uiPriority w:val="99"/>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rFonts w:ascii="Arial" w:hAnsi="Arial"/>
        <w:b/>
        <w:color w:val="FFFFFF"/>
        <w:sz w:val="22"/>
      </w:r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39">
    <w:name w:val="List Table 4 - Accent 3"/>
    <w:basedOn w:val="12"/>
    <w:uiPriority w:val="99"/>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rFonts w:ascii="Arial" w:hAnsi="Arial"/>
        <w:b/>
        <w:color w:val="FFFFFF"/>
        <w:sz w:val="22"/>
      </w:r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40">
    <w:name w:val="List Table 4 - Accent 4"/>
    <w:basedOn w:val="12"/>
    <w:uiPriority w:val="99"/>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blStylePr w:type="firstRow">
      <w:rPr>
        <w:rFonts w:ascii="Arial" w:hAnsi="Arial"/>
        <w:b/>
        <w:color w:val="FFFFFF"/>
        <w:sz w:val="22"/>
      </w:r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41">
    <w:name w:val="List Table 4 - Accent 5"/>
    <w:basedOn w:val="12"/>
    <w:uiPriority w:val="99"/>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blStylePr w:type="firstRow">
      <w:rPr>
        <w:rFonts w:ascii="Arial" w:hAnsi="Arial"/>
        <w:b/>
        <w:color w:val="FFFFFF"/>
        <w:sz w:val="22"/>
      </w:r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0DBF0" w:themeColor="accent5" w:themeTint="40" w:fill="D0DBF0" w:themeFill="accent5" w:themeFillTint="40"/>
      </w:tcPr>
    </w:tblStylePr>
    <w:tblStylePr w:type="band1Horz">
      <w:rPr>
        <w:rFonts w:ascii="Arial" w:hAnsi="Arial"/>
        <w:color w:val="404040"/>
        <w:sz w:val="22"/>
      </w:rPr>
      <w:tcPr>
        <w:shd w:val="clear" w:color="D0DBF0" w:themeColor="accent5" w:themeTint="40" w:fill="D0DBF0" w:themeFill="accent5" w:themeFillTint="40"/>
      </w:tcPr>
    </w:tblStylePr>
  </w:style>
  <w:style w:type="table" w:customStyle="1" w:styleId="142">
    <w:name w:val="List Table 4 - Accent 6"/>
    <w:basedOn w:val="12"/>
    <w:uiPriority w:val="99"/>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rFonts w:ascii="Arial" w:hAnsi="Arial"/>
        <w:b/>
        <w:color w:val="FFFFFF"/>
        <w:sz w:val="22"/>
      </w:r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43">
    <w:name w:val="Список-таблица 5 темная1"/>
    <w:basedOn w:val="12"/>
    <w:uiPriority w:val="99"/>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style>
  <w:style w:type="table" w:customStyle="1" w:styleId="144">
    <w:name w:val="List Table 5 Dark - Accent 1"/>
    <w:basedOn w:val="12"/>
    <w:uiPriority w:val="99"/>
    <w:tblPr>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5B9BD5" w:themeColor="accent1" w:sz="32" w:space="0"/>
          <w:bottom w:val="single" w:color="FFFFFF" w:themeColor="light1" w:sz="12" w:space="0"/>
        </w:tcBorders>
        <w:shd w:val="clear" w:color="5B9BD5" w:themeColor="accent1" w:fill="5B9BD5"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5B9BD5" w:themeColor="accent1" w:sz="32" w:space="0"/>
          <w:right w:val="single" w:color="FFFFFF" w:themeColor="light1" w:sz="4" w:space="0"/>
        </w:tcBorders>
      </w:tcPr>
    </w:tblStylePr>
    <w:tblStylePr w:type="lastCol">
      <w:tcPr>
        <w:tcBorders>
          <w:left w:val="single" w:color="FFFFFF" w:themeColor="light1" w:sz="4" w:space="0"/>
          <w:right w:val="single" w:color="5B9BD5" w:themeColor="accent1" w:sz="32" w:space="0"/>
        </w:tcBorders>
      </w:tcPr>
    </w:tblStylePr>
    <w:tblStylePr w:type="band1Vert">
      <w:tcPr>
        <w:tcBorders>
          <w:left w:val="single" w:color="FFFFFF" w:themeColor="light1" w:sz="4" w:space="0"/>
          <w:right w:val="single" w:color="FFFFFF" w:themeColor="light1" w:sz="4" w:space="0"/>
        </w:tcBorders>
        <w:shd w:val="clear" w:color="5B9BD5" w:themeColor="accent1" w:fill="5B9BD5"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5B9BD5" w:themeColor="accent1" w:fill="5B9BD5" w:themeFill="accent1"/>
      </w:tcPr>
    </w:tblStylePr>
    <w:tblStylePr w:type="band2Horz">
      <w:tcPr>
        <w:tcBorders>
          <w:top w:val="single" w:color="FFFFFF" w:themeColor="light1" w:sz="4" w:space="0"/>
          <w:bottom w:val="single" w:color="FFFFFF" w:themeColor="light1" w:sz="4" w:space="0"/>
        </w:tcBorders>
        <w:shd w:val="clear" w:color="5B9BD5" w:themeColor="accent1" w:fill="5B9BD5" w:themeFill="accent1"/>
      </w:tcPr>
    </w:tblStylePr>
  </w:style>
  <w:style w:type="table" w:customStyle="1" w:styleId="145">
    <w:name w:val="List Table 5 Dark - Accent 2"/>
    <w:basedOn w:val="12"/>
    <w:uiPriority w:val="99"/>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F4B285" w:themeColor="accent2" w:themeTint="97" w:sz="32" w:space="0"/>
          <w:bottom w:val="single" w:color="FFFFFF" w:themeColor="light1" w:sz="12" w:space="0"/>
        </w:tcBorders>
        <w:shd w:val="clear" w:color="F4B285" w:themeColor="accent2" w:themeTint="97" w:fill="F4B28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4B285" w:themeColor="accent2" w:themeTint="97" w:sz="32" w:space="0"/>
          <w:right w:val="single" w:color="FFFFFF" w:themeColor="light1" w:sz="4" w:space="0"/>
        </w:tcBorders>
      </w:tcPr>
    </w:tblStylePr>
    <w:tblStylePr w:type="lastCol">
      <w:tcPr>
        <w:tcBorders>
          <w:left w:val="single" w:color="FFFFFF" w:themeColor="light1" w:sz="4" w:space="0"/>
          <w:right w:val="single" w:color="F4B285" w:themeColor="accent2" w:themeTint="97" w:sz="32" w:space="0"/>
        </w:tcBorders>
      </w:tcPr>
    </w:tblStylePr>
    <w:tblStylePr w:type="band1Vert">
      <w:tcPr>
        <w:tcBorders>
          <w:left w:val="single" w:color="FFFFFF" w:themeColor="light1" w:sz="4" w:space="0"/>
          <w:right w:val="single" w:color="FFFFFF" w:themeColor="light1" w:sz="4" w:space="0"/>
        </w:tcBorders>
        <w:shd w:val="clear" w:color="F4B285" w:themeColor="accent2" w:themeTint="97" w:fill="F4B28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tblStylePr w:type="band2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style>
  <w:style w:type="table" w:customStyle="1" w:styleId="146">
    <w:name w:val="List Table 5 Dark - Accent 3"/>
    <w:basedOn w:val="12"/>
    <w:uiPriority w:val="99"/>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9C9C9" w:themeColor="accent3" w:themeTint="98" w:sz="32" w:space="0"/>
          <w:bottom w:val="single" w:color="FFFFFF" w:themeColor="light1" w:sz="12" w:space="0"/>
        </w:tcBorders>
        <w:shd w:val="clear" w:color="C9C9C9" w:themeColor="accent3" w:themeTint="98" w:fill="C9C9C9"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9C9C9" w:themeColor="accent3" w:themeTint="98" w:sz="32" w:space="0"/>
          <w:right w:val="single" w:color="FFFFFF" w:themeColor="light1" w:sz="4" w:space="0"/>
        </w:tcBorders>
      </w:tcPr>
    </w:tblStylePr>
    <w:tblStylePr w:type="lastCol">
      <w:tcPr>
        <w:tcBorders>
          <w:left w:val="single" w:color="FFFFFF" w:themeColor="light1" w:sz="4" w:space="0"/>
          <w:right w:val="single" w:color="C9C9C9" w:themeColor="accent3" w:themeTint="98" w:sz="32" w:space="0"/>
        </w:tcBorders>
      </w:tcPr>
    </w:tblStylePr>
    <w:tblStylePr w:type="band1Vert">
      <w:tcPr>
        <w:tcBorders>
          <w:left w:val="single" w:color="FFFFFF" w:themeColor="light1" w:sz="4" w:space="0"/>
          <w:right w:val="single" w:color="FFFFFF" w:themeColor="light1" w:sz="4" w:space="0"/>
        </w:tcBorders>
        <w:shd w:val="clear" w:color="C9C9C9" w:themeColor="accent3" w:themeTint="98" w:fill="C9C9C9"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tblStylePr w:type="band2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style>
  <w:style w:type="table" w:customStyle="1" w:styleId="147">
    <w:name w:val="List Table 5 Dark - Accent 4"/>
    <w:basedOn w:val="12"/>
    <w:uiPriority w:val="99"/>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FFD864" w:themeColor="accent4" w:themeTint="9A" w:sz="32" w:space="0"/>
          <w:bottom w:val="single" w:color="FFFFFF" w:themeColor="light1" w:sz="12" w:space="0"/>
        </w:tcBorders>
        <w:shd w:val="clear" w:color="FFD864" w:themeColor="accent4" w:themeTint="9A" w:fill="FFD864"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FD864" w:themeColor="accent4" w:themeTint="9A" w:sz="32" w:space="0"/>
          <w:right w:val="single" w:color="FFFFFF" w:themeColor="light1" w:sz="4" w:space="0"/>
        </w:tcBorders>
      </w:tcPr>
    </w:tblStylePr>
    <w:tblStylePr w:type="lastCol">
      <w:tcPr>
        <w:tcBorders>
          <w:left w:val="single" w:color="FFFFFF" w:themeColor="light1" w:sz="4" w:space="0"/>
          <w:right w:val="single" w:color="FFD864" w:themeColor="accent4" w:themeTint="9A" w:sz="32" w:space="0"/>
        </w:tcBorders>
      </w:tcPr>
    </w:tblStylePr>
    <w:tblStylePr w:type="band1Vert">
      <w:tcPr>
        <w:tcBorders>
          <w:left w:val="single" w:color="FFFFFF" w:themeColor="light1" w:sz="4" w:space="0"/>
          <w:right w:val="single" w:color="FFFFFF" w:themeColor="light1" w:sz="4" w:space="0"/>
        </w:tcBorders>
        <w:shd w:val="clear" w:color="FFD864" w:themeColor="accent4" w:themeTint="9A" w:fill="FFD864"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tblStylePr w:type="band2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style>
  <w:style w:type="table" w:customStyle="1" w:styleId="148">
    <w:name w:val="List Table 5 Dark - Accent 5"/>
    <w:basedOn w:val="12"/>
    <w:uiPriority w:val="99"/>
    <w:tblPr>
      <w:tblBorders>
        <w:top w:val="single" w:color="8EA9DB" w:themeColor="accent5" w:themeTint="9A" w:sz="32" w:space="0"/>
        <w:left w:val="single" w:color="8EA9DB" w:themeColor="accent5" w:themeTint="9A" w:sz="32" w:space="0"/>
        <w:bottom w:val="single" w:color="8EA9DB" w:themeColor="accent5" w:themeTint="9A" w:sz="32" w:space="0"/>
        <w:right w:val="single" w:color="8EA9DB"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8EA9DB" w:themeColor="accent5" w:themeTint="9A" w:sz="32" w:space="0"/>
          <w:bottom w:val="single" w:color="FFFFFF" w:themeColor="light1" w:sz="12" w:space="0"/>
        </w:tcBorders>
        <w:shd w:val="clear" w:color="8EA9DB" w:themeColor="accent5" w:themeTint="9A" w:fill="8EA9DB"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8EA9DB" w:themeColor="accent5" w:themeTint="9A" w:sz="32" w:space="0"/>
          <w:right w:val="single" w:color="FFFFFF" w:themeColor="light1" w:sz="4" w:space="0"/>
        </w:tcBorders>
      </w:tcPr>
    </w:tblStylePr>
    <w:tblStylePr w:type="lastCol">
      <w:tcPr>
        <w:tcBorders>
          <w:left w:val="single" w:color="FFFFFF" w:themeColor="light1" w:sz="4" w:space="0"/>
          <w:right w:val="single" w:color="8EA9DB" w:themeColor="accent5" w:themeTint="9A" w:sz="32" w:space="0"/>
        </w:tcBorders>
      </w:tcPr>
    </w:tblStylePr>
    <w:tblStylePr w:type="band1Vert">
      <w:tcPr>
        <w:tcBorders>
          <w:left w:val="single" w:color="FFFFFF" w:themeColor="light1" w:sz="4" w:space="0"/>
          <w:right w:val="single" w:color="FFFFFF" w:themeColor="light1" w:sz="4" w:space="0"/>
        </w:tcBorders>
        <w:shd w:val="clear" w:color="8EA9DB" w:themeColor="accent5" w:themeTint="9A" w:fill="8EA9DB"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tblStylePr w:type="band2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style>
  <w:style w:type="table" w:customStyle="1" w:styleId="149">
    <w:name w:val="List Table 5 Dark - Accent 6"/>
    <w:basedOn w:val="12"/>
    <w:uiPriority w:val="99"/>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A9D08E" w:themeColor="accent6" w:themeTint="98" w:sz="32" w:space="0"/>
          <w:bottom w:val="single" w:color="FFFFFF" w:themeColor="light1" w:sz="12" w:space="0"/>
        </w:tcBorders>
        <w:shd w:val="clear" w:color="A9D08E" w:themeColor="accent6" w:themeTint="98" w:fill="A9D08E"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A9D08E" w:themeColor="accent6" w:themeTint="98" w:sz="32" w:space="0"/>
          <w:right w:val="single" w:color="FFFFFF" w:themeColor="light1" w:sz="4" w:space="0"/>
        </w:tcBorders>
      </w:tcPr>
    </w:tblStylePr>
    <w:tblStylePr w:type="lastCol">
      <w:tcPr>
        <w:tcBorders>
          <w:left w:val="single" w:color="FFFFFF" w:themeColor="light1" w:sz="4" w:space="0"/>
          <w:right w:val="single" w:color="A9D08E" w:themeColor="accent6" w:themeTint="98" w:sz="32" w:space="0"/>
        </w:tcBorders>
      </w:tcPr>
    </w:tblStylePr>
    <w:tblStylePr w:type="band1Vert">
      <w:tcPr>
        <w:tcBorders>
          <w:left w:val="single" w:color="FFFFFF" w:themeColor="light1" w:sz="4" w:space="0"/>
          <w:right w:val="single" w:color="FFFFFF" w:themeColor="light1" w:sz="4" w:space="0"/>
        </w:tcBorders>
        <w:shd w:val="clear" w:color="A9D08E" w:themeColor="accent6" w:themeTint="98" w:fill="A9D08E"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tblStylePr w:type="band2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style>
  <w:style w:type="table" w:customStyle="1" w:styleId="150">
    <w:name w:val="Список-таблица 6 цветная1"/>
    <w:basedOn w:val="12"/>
    <w:uiPriority w:val="99"/>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51">
    <w:name w:val="List Table 6 Colorful - Accent 1"/>
    <w:basedOn w:val="12"/>
    <w:uiPriority w:val="99"/>
    <w:tblPr>
      <w:tblBorders>
        <w:top w:val="single" w:color="5B9BD5" w:themeColor="accent1" w:sz="4" w:space="0"/>
        <w:bottom w:val="single" w:color="5B9BD5" w:themeColor="accent1" w:sz="4" w:space="0"/>
      </w:tblBorders>
    </w:tblPr>
    <w:tblStylePr w:type="firstRow">
      <w:rPr>
        <w:b/>
        <w:color w:val="245B8C" w:themeColor="accent1" w:themeShade="94"/>
      </w:rPr>
      <w:tcPr>
        <w:tcBorders>
          <w:bottom w:val="single" w:color="5B9BD5" w:themeColor="accent1" w:sz="4" w:space="0"/>
        </w:tcBorders>
      </w:tcPr>
    </w:tblStylePr>
    <w:tblStylePr w:type="lastRow">
      <w:rPr>
        <w:b/>
        <w:color w:val="245B8C" w:themeColor="accent1" w:themeShade="94"/>
      </w:rPr>
      <w:tcPr>
        <w:tcBorders>
          <w:top w:val="single" w:color="5B9BD5" w:themeColor="accent1" w:sz="4" w:space="0"/>
        </w:tcBorders>
      </w:tcPr>
    </w:tblStylePr>
    <w:tblStylePr w:type="firstCol">
      <w:rPr>
        <w:b/>
        <w:color w:val="245B8C" w:themeColor="accent1" w:themeShade="94"/>
      </w:rPr>
    </w:tblStylePr>
    <w:tblStylePr w:type="lastCol">
      <w:rPr>
        <w:b/>
        <w:color w:val="245B8C" w:themeColor="accent1" w:themeShade="94"/>
      </w:rPr>
    </w:tblStylePr>
    <w:tblStylePr w:type="band1Vert">
      <w:tcPr>
        <w:shd w:val="clear" w:color="D5E5F4" w:themeColor="accent1" w:themeTint="40" w:fill="D5E5F4" w:themeFill="accent1" w:themeFillTint="40"/>
      </w:tcPr>
    </w:tblStylePr>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style>
  <w:style w:type="table" w:customStyle="1" w:styleId="152">
    <w:name w:val="List Table 6 Colorful - Accent 2"/>
    <w:basedOn w:val="12"/>
    <w:uiPriority w:val="99"/>
    <w:tblPr>
      <w:tblBorders>
        <w:top w:val="single" w:color="F4B285" w:themeColor="accent2" w:themeTint="97" w:sz="4" w:space="0"/>
        <w:bottom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4" w:space="0"/>
        </w:tcBorders>
      </w:tcPr>
    </w:tblStylePr>
    <w:tblStylePr w:type="lastRow">
      <w:rPr>
        <w:b/>
        <w:color w:val="F4B285" w:themeColor="accent2" w:themeTint="96"/>
        <w14:textFill>
          <w14:solidFill>
            <w14:schemeClr w14:val="accent2">
              <w14:lumMod w14:val="59000"/>
              <w14:lumOff w14:val="41000"/>
            </w14:schemeClr>
          </w14:solidFill>
        </w14:textFill>
      </w:rPr>
      <w:tcPr>
        <w:tcBorders>
          <w:top w:val="single" w:color="F4B285" w:themeColor="accent2" w:themeTint="97" w:sz="4" w:space="0"/>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53">
    <w:name w:val="List Table 6 Colorful - Accent 3"/>
    <w:basedOn w:val="12"/>
    <w:uiPriority w:val="99"/>
    <w:tblPr>
      <w:tblBorders>
        <w:top w:val="single" w:color="C9C9C9" w:themeColor="accent3" w:themeTint="98" w:sz="4" w:space="0"/>
        <w:bottom w:val="single" w:color="C9C9C9" w:themeColor="accent3" w:themeTint="98" w:sz="4" w:space="0"/>
      </w:tblBorders>
    </w:tblPr>
    <w:tblStylePr w:type="firstRow">
      <w:rPr>
        <w:b/>
        <w:color w:val="C9C9C9" w:themeColor="accent3" w:themeTint="99"/>
        <w14:textFill>
          <w14:solidFill>
            <w14:schemeClr w14:val="accent3">
              <w14:lumMod w14:val="60000"/>
              <w14:lumOff w14:val="40000"/>
            </w14:schemeClr>
          </w14:solidFill>
        </w14:textFill>
      </w:rPr>
      <w:tcPr>
        <w:tcBorders>
          <w:bottom w:val="single" w:color="C9C9C9" w:themeColor="accent3" w:themeTint="98" w:sz="4" w:space="0"/>
        </w:tcBorders>
      </w:tcPr>
    </w:tblStylePr>
    <w:tblStylePr w:type="lastRow">
      <w:rPr>
        <w:b/>
        <w:color w:val="C9C9C9" w:themeColor="accent3" w:themeTint="99"/>
        <w14:textFill>
          <w14:solidFill>
            <w14:schemeClr w14:val="accent3">
              <w14:lumMod w14:val="60000"/>
              <w14:lumOff w14:val="40000"/>
            </w14:schemeClr>
          </w14:solidFill>
        </w14:textFill>
      </w:rPr>
      <w:tcPr>
        <w:tcBorders>
          <w:top w:val="single" w:color="C9C9C9" w:themeColor="accent3" w:themeTint="98" w:sz="4" w:space="0"/>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54">
    <w:name w:val="List Table 6 Colorful - Accent 4"/>
    <w:basedOn w:val="12"/>
    <w:uiPriority w:val="99"/>
    <w:tblPr>
      <w:tblBorders>
        <w:top w:val="single" w:color="FFD864" w:themeColor="accent4" w:themeTint="9A" w:sz="4" w:space="0"/>
        <w:bottom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4" w:space="0"/>
        </w:tcBorders>
      </w:tcPr>
    </w:tblStylePr>
    <w:tblStylePr w:type="lastRow">
      <w:rPr>
        <w:b/>
        <w:color w:val="FFD966" w:themeColor="accent4" w:themeTint="99"/>
        <w14:textFill>
          <w14:solidFill>
            <w14:schemeClr w14:val="accent4">
              <w14:lumMod w14:val="60000"/>
              <w14:lumOff w14:val="40000"/>
            </w14:schemeClr>
          </w14:solidFill>
        </w14:textFill>
      </w:rPr>
      <w:tcPr>
        <w:tcBorders>
          <w:top w:val="single" w:color="FFD864" w:themeColor="accent4" w:themeTint="9A" w:sz="4" w:space="0"/>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55">
    <w:name w:val="List Table 6 Colorful - Accent 5"/>
    <w:basedOn w:val="12"/>
    <w:uiPriority w:val="99"/>
    <w:tblPr>
      <w:tblBorders>
        <w:top w:val="single" w:color="8EA9DB" w:themeColor="accent5" w:themeTint="9A" w:sz="4" w:space="0"/>
        <w:bottom w:val="single" w:color="8EA9DB" w:themeColor="accent5" w:themeTint="9A" w:sz="4" w:space="0"/>
      </w:tblBorders>
    </w:tblPr>
    <w:tblStylePr w:type="firstRow">
      <w:rPr>
        <w:b/>
        <w:color w:val="8FAADC" w:themeColor="accent5" w:themeTint="99"/>
        <w14:textFill>
          <w14:solidFill>
            <w14:schemeClr w14:val="accent5">
              <w14:lumMod w14:val="60000"/>
              <w14:lumOff w14:val="40000"/>
            </w14:schemeClr>
          </w14:solidFill>
        </w14:textFill>
      </w:rPr>
      <w:tcPr>
        <w:tcBorders>
          <w:bottom w:val="single" w:color="8EA9DB" w:themeColor="accent5" w:themeTint="9A" w:sz="4" w:space="0"/>
        </w:tcBorders>
      </w:tcPr>
    </w:tblStylePr>
    <w:tblStylePr w:type="lastRow">
      <w:rPr>
        <w:b/>
        <w:color w:val="8FAADC" w:themeColor="accent5" w:themeTint="99"/>
        <w14:textFill>
          <w14:solidFill>
            <w14:schemeClr w14:val="accent5">
              <w14:lumMod w14:val="60000"/>
              <w14:lumOff w14:val="40000"/>
            </w14:schemeClr>
          </w14:solidFill>
        </w14:textFill>
      </w:rPr>
      <w:tcPr>
        <w:tcBorders>
          <w:top w:val="single" w:color="8EA9DB" w:themeColor="accent5" w:themeTint="9A" w:sz="4" w:space="0"/>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cPr>
        <w:shd w:val="clear" w:color="D0DBF0" w:themeColor="accent5" w:themeTint="40" w:fill="D0DBF0" w:themeFill="accent5" w:themeFill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56">
    <w:name w:val="List Table 6 Colorful - Accent 6"/>
    <w:basedOn w:val="12"/>
    <w:uiPriority w:val="99"/>
    <w:tblPr>
      <w:tblBorders>
        <w:top w:val="single" w:color="A9D08E" w:themeColor="accent6" w:themeTint="98" w:sz="4" w:space="0"/>
        <w:bottom w:val="single" w:color="A9D08E" w:themeColor="accent6" w:themeTint="98" w:sz="4" w:space="0"/>
      </w:tblBorders>
    </w:tblPr>
    <w:tblStylePr w:type="firstRow">
      <w:rPr>
        <w:b/>
        <w:color w:val="A9D18E" w:themeColor="accent6" w:themeTint="99"/>
        <w14:textFill>
          <w14:solidFill>
            <w14:schemeClr w14:val="accent6">
              <w14:lumMod w14:val="60000"/>
              <w14:lumOff w14:val="40000"/>
            </w14:schemeClr>
          </w14:solidFill>
        </w14:textFill>
      </w:rPr>
      <w:tcPr>
        <w:tcBorders>
          <w:bottom w:val="single" w:color="A9D08E" w:themeColor="accent6" w:themeTint="98" w:sz="4" w:space="0"/>
        </w:tcBorders>
      </w:tcPr>
    </w:tblStylePr>
    <w:tblStylePr w:type="lastRow">
      <w:rPr>
        <w:b/>
        <w:color w:val="A9D18E" w:themeColor="accent6" w:themeTint="99"/>
        <w14:textFill>
          <w14:solidFill>
            <w14:schemeClr w14:val="accent6">
              <w14:lumMod w14:val="60000"/>
              <w14:lumOff w14:val="40000"/>
            </w14:schemeClr>
          </w14:solidFill>
        </w14:textFill>
      </w:rPr>
      <w:tcPr>
        <w:tcBorders>
          <w:top w:val="single" w:color="A9D08E" w:themeColor="accent6" w:themeTint="98" w:sz="4" w:space="0"/>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57">
    <w:name w:val="Список-таблица 7 цветная1"/>
    <w:basedOn w:val="12"/>
    <w:uiPriority w:val="99"/>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58">
    <w:name w:val="List Table 7 Colorful - Accent 1"/>
    <w:basedOn w:val="12"/>
    <w:uiPriority w:val="99"/>
    <w:tblPr>
      <w:tblBorders>
        <w:right w:val="single" w:color="5B9BD5" w:themeColor="accent1" w:sz="4" w:space="0"/>
      </w:tblBorders>
    </w:tblPr>
    <w:tblStylePr w:type="firstRow">
      <w:rPr>
        <w:rFonts w:ascii="Arial" w:hAnsi="Arial"/>
        <w:i/>
        <w:color w:val="245B8C" w:themeColor="accent1" w:themeShade="94"/>
        <w:sz w:val="22"/>
      </w:rPr>
      <w:tcPr>
        <w:tcBorders>
          <w:top w:val="nil"/>
          <w:left w:val="nil"/>
          <w:bottom w:val="single" w:color="5B9BD5" w:themeColor="accent1" w:sz="4" w:space="0"/>
          <w:right w:val="nil"/>
        </w:tcBorders>
        <w:shd w:val="clear" w:color="FFFFFF" w:themeColor="light1" w:fill="FFFFFF" w:themeFill="light1"/>
      </w:tcPr>
    </w:tblStylePr>
    <w:tblStylePr w:type="lastRow">
      <w:rPr>
        <w:rFonts w:ascii="Arial" w:hAnsi="Arial"/>
        <w:i/>
        <w:color w:val="245B8C" w:themeColor="accent1" w:themeShade="94"/>
        <w:sz w:val="22"/>
      </w:rPr>
      <w:tcPr>
        <w:tcBorders>
          <w:top w:val="single" w:color="5B9BD5"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45B8C" w:themeColor="accent1" w:themeShade="94"/>
        <w:sz w:val="22"/>
      </w:rPr>
      <w:tcPr>
        <w:tcBorders>
          <w:top w:val="nil"/>
          <w:left w:val="nil"/>
          <w:bottom w:val="nil"/>
          <w:right w:val="single" w:color="5B9BD5" w:themeColor="accent1" w:sz="4" w:space="0"/>
        </w:tcBorders>
        <w:shd w:val="clear" w:color="FFFFFF" w:fill="auto"/>
      </w:tcPr>
    </w:tblStylePr>
    <w:tblStylePr w:type="lastCol">
      <w:rPr>
        <w:rFonts w:ascii="Arial" w:hAnsi="Arial"/>
        <w:i/>
        <w:color w:val="245B8C" w:themeColor="accent1" w:themeShade="94"/>
        <w:sz w:val="22"/>
      </w:rPr>
      <w:tcPr>
        <w:tcBorders>
          <w:top w:val="nil"/>
          <w:left w:val="single" w:color="5B9BD5" w:themeColor="accent1" w:sz="4" w:space="0"/>
          <w:bottom w:val="nil"/>
          <w:right w:val="nil"/>
        </w:tcBorders>
        <w:shd w:val="clear" w:color="FFFFFF" w:fill="auto"/>
      </w:tcPr>
    </w:tblStylePr>
    <w:tblStylePr w:type="band1Vert">
      <w:tcPr>
        <w:shd w:val="clear" w:color="D5E5F4" w:themeColor="accent1" w:themeTint="40" w:fill="D5E5F4" w:themeFill="accent1" w:themeFillTint="40"/>
      </w:tcPr>
    </w:tblStylePr>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style>
  <w:style w:type="table" w:customStyle="1" w:styleId="159">
    <w:name w:val="List Table 7 Colorful - Accent 2"/>
    <w:basedOn w:val="12"/>
    <w:uiPriority w:val="99"/>
    <w:tblPr>
      <w:tblBorders>
        <w:right w:val="single" w:color="F4B285" w:themeColor="accent2" w:themeTint="97" w:sz="4" w:space="0"/>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60">
    <w:name w:val="List Table 7 Colorful - Accent 3"/>
    <w:basedOn w:val="12"/>
    <w:uiPriority w:val="99"/>
    <w:tblPr>
      <w:tblBorders>
        <w:right w:val="single" w:color="C9C9C9" w:themeColor="accent3" w:themeTint="98" w:sz="4" w:space="0"/>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single" w:color="C9C9C9" w:themeColor="accent3" w:themeTint="98" w:sz="4" w:space="0"/>
          <w:right w:val="nil"/>
        </w:tcBorders>
        <w:shd w:val="clear" w:color="FFFFFF" w:themeColor="light1" w:fill="FFFFFF" w:themeFill="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cPr>
        <w:tcBorders>
          <w:top w:val="single" w:color="C9C9C9"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nil"/>
          <w:right w:val="single" w:color="C9C9C9" w:themeColor="accent3" w:themeTint="98" w:sz="4" w:space="0"/>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single" w:color="C9C9C9" w:themeColor="accent3" w:themeTint="98" w:sz="4" w:space="0"/>
          <w:bottom w:val="nil"/>
          <w:right w:val="nil"/>
        </w:tcBorders>
        <w:shd w:val="clear" w:color="FFFFFF" w:fill="auto"/>
      </w:tc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61">
    <w:name w:val="List Table 7 Colorful - Accent 4"/>
    <w:basedOn w:val="12"/>
    <w:uiPriority w:val="99"/>
    <w:tblPr>
      <w:tblBorders>
        <w:right w:val="single" w:color="FFD864" w:themeColor="accent4" w:themeTint="9A" w:sz="4" w:space="0"/>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62">
    <w:name w:val="List Table 7 Colorful - Accent 5"/>
    <w:basedOn w:val="12"/>
    <w:uiPriority w:val="99"/>
    <w:tblPr>
      <w:tblBorders>
        <w:right w:val="single" w:color="8EA9DB" w:themeColor="accent5" w:themeTint="9A" w:sz="4" w:space="0"/>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single" w:color="8EA9DB" w:themeColor="accent5" w:themeTint="9A" w:sz="4" w:space="0"/>
          <w:right w:val="nil"/>
        </w:tcBorders>
        <w:shd w:val="clear" w:color="FFFFFF" w:themeColor="light1" w:fill="FFFFFF" w:themeFill="light1"/>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cPr>
        <w:tcBorders>
          <w:top w:val="single" w:color="8EA9DB"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nil"/>
          <w:right w:val="single" w:color="8EA9DB" w:themeColor="accent5" w:themeTint="9A" w:sz="4" w:space="0"/>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single" w:color="8EA9DB" w:themeColor="accent5" w:themeTint="9A" w:sz="4" w:space="0"/>
          <w:bottom w:val="nil"/>
          <w:right w:val="nil"/>
        </w:tcBorders>
        <w:shd w:val="clear" w:color="FFFFFF" w:fill="auto"/>
      </w:tcPr>
    </w:tblStylePr>
    <w:tblStylePr w:type="band1Vert">
      <w:tcPr>
        <w:shd w:val="clear" w:color="D0DBF0" w:themeColor="accent5" w:themeTint="40" w:fill="D0DBF0" w:themeFill="accent5" w:themeFill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63">
    <w:name w:val="List Table 7 Colorful - Accent 6"/>
    <w:basedOn w:val="12"/>
    <w:uiPriority w:val="99"/>
    <w:tblPr>
      <w:tblBorders>
        <w:right w:val="single" w:color="A9D08E" w:themeColor="accent6" w:themeTint="98" w:sz="4" w:space="0"/>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single" w:color="A9D08E" w:themeColor="accent6" w:themeTint="98" w:sz="4" w:space="0"/>
          <w:right w:val="nil"/>
        </w:tcBorders>
        <w:shd w:val="clear" w:color="FFFFFF" w:themeColor="light1" w:fill="FFFFFF" w:themeFill="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cPr>
        <w:tcBorders>
          <w:top w:val="single" w:color="A9D08E"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nil"/>
          <w:right w:val="single" w:color="A9D08E" w:themeColor="accent6" w:themeTint="98" w:sz="4" w:space="0"/>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single" w:color="A9D08E" w:themeColor="accent6" w:themeTint="98" w:sz="4" w:space="0"/>
          <w:bottom w:val="nil"/>
          <w:right w:val="nil"/>
        </w:tcBorders>
        <w:shd w:val="clear" w:color="FFFFFF" w:fill="auto"/>
      </w:tc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64">
    <w:name w:val="Lined - Accent"/>
    <w:basedOn w:val="12"/>
    <w:uiPriority w:val="99"/>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65">
    <w:name w:val="Lined - Accent 1"/>
    <w:basedOn w:val="12"/>
    <w:uiPriority w:val="99"/>
    <w:rPr>
      <w:color w:val="404040"/>
    </w:r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style>
  <w:style w:type="table" w:customStyle="1" w:styleId="166">
    <w:name w:val="Lined - Accent 2"/>
    <w:basedOn w:val="12"/>
    <w:uiPriority w:val="99"/>
    <w:rPr>
      <w:color w:val="404040"/>
    </w:r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67">
    <w:name w:val="Lined - Accent 3"/>
    <w:basedOn w:val="12"/>
    <w:uiPriority w:val="99"/>
    <w:rPr>
      <w:color w:val="404040"/>
    </w:r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68">
    <w:name w:val="Lined - Accent 4"/>
    <w:basedOn w:val="12"/>
    <w:uiPriority w:val="99"/>
    <w:rPr>
      <w:color w:val="404040"/>
    </w:r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69">
    <w:name w:val="Lined - Accent 5"/>
    <w:basedOn w:val="12"/>
    <w:uiPriority w:val="99"/>
    <w:rPr>
      <w:color w:val="404040"/>
    </w:r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style>
  <w:style w:type="table" w:customStyle="1" w:styleId="170">
    <w:name w:val="Lined - Accent 6"/>
    <w:basedOn w:val="12"/>
    <w:uiPriority w:val="99"/>
    <w:rPr>
      <w:color w:val="404040"/>
    </w:r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71">
    <w:name w:val="Bordered &amp; Lined - Accent"/>
    <w:basedOn w:val="12"/>
    <w:uiPriority w:val="99"/>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72">
    <w:name w:val="Bordered &amp; Lined - Accent 1"/>
    <w:basedOn w:val="12"/>
    <w:uiPriority w:val="99"/>
    <w:rPr>
      <w:color w:val="404040"/>
    </w:rPr>
    <w:tblPr>
      <w:tblBorders>
        <w:top w:val="single" w:color="245B8D" w:themeColor="accent1" w:themeShade="95" w:sz="4" w:space="0"/>
        <w:left w:val="single" w:color="245B8D" w:themeColor="accent1" w:themeShade="95" w:sz="4" w:space="0"/>
        <w:bottom w:val="single" w:color="245B8D" w:themeColor="accent1" w:themeShade="95" w:sz="4" w:space="0"/>
        <w:right w:val="single" w:color="245B8D" w:themeColor="accent1" w:themeShade="95" w:sz="4" w:space="0"/>
        <w:insideH w:val="single" w:color="245B8D" w:themeColor="accent1" w:themeShade="95" w:sz="4" w:space="0"/>
        <w:insideV w:val="single" w:color="245B8D" w:themeColor="accent1" w:themeShade="95" w:sz="4" w:space="0"/>
      </w:tblBorders>
    </w:tbl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style>
  <w:style w:type="table" w:customStyle="1" w:styleId="173">
    <w:name w:val="Bordered &amp; Lined - Accent 2"/>
    <w:basedOn w:val="12"/>
    <w:uiPriority w:val="99"/>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74">
    <w:name w:val="Bordered &amp; Lined - Accent 3"/>
    <w:basedOn w:val="12"/>
    <w:uiPriority w:val="99"/>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75">
    <w:name w:val="Bordered &amp; Lined - Accent 4"/>
    <w:basedOn w:val="12"/>
    <w:uiPriority w:val="99"/>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76">
    <w:name w:val="Bordered &amp; Lined - Accent 5"/>
    <w:basedOn w:val="12"/>
    <w:uiPriority w:val="99"/>
    <w:rPr>
      <w:color w:val="404040"/>
    </w:rPr>
    <w:tblPr>
      <w:tblBorders>
        <w:top w:val="single" w:color="244175" w:themeColor="accent5" w:themeShade="95" w:sz="4" w:space="0"/>
        <w:left w:val="single" w:color="244175" w:themeColor="accent5" w:themeShade="95" w:sz="4" w:space="0"/>
        <w:bottom w:val="single" w:color="244175" w:themeColor="accent5" w:themeShade="95" w:sz="4" w:space="0"/>
        <w:right w:val="single" w:color="244175" w:themeColor="accent5" w:themeShade="95" w:sz="4" w:space="0"/>
        <w:insideH w:val="single" w:color="244175" w:themeColor="accent5" w:themeShade="95" w:sz="4" w:space="0"/>
        <w:insideV w:val="single" w:color="244175" w:themeColor="accent5" w:themeShade="95" w:sz="4" w:space="0"/>
      </w:tblBorders>
    </w:tbl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style>
  <w:style w:type="table" w:customStyle="1" w:styleId="177">
    <w:name w:val="Bordered &amp; Lined - Accent 6"/>
    <w:basedOn w:val="12"/>
    <w:uiPriority w:val="99"/>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78">
    <w:name w:val="Bordered"/>
    <w:basedOn w:val="12"/>
    <w:uiPriority w:val="99"/>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79">
    <w:name w:val="Bordered - Accent 1"/>
    <w:basedOn w:val="12"/>
    <w:uiPriority w:val="99"/>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rFonts w:ascii="Arial" w:hAnsi="Arial"/>
        <w:color w:val="404040"/>
        <w:sz w:val="22"/>
      </w:rPr>
      <w:tcPr>
        <w:tcBorders>
          <w:bottom w:val="single" w:color="5B9BD5" w:themeColor="accent1" w:sz="12" w:space="0"/>
        </w:tcBorders>
      </w:tcPr>
    </w:tblStylePr>
    <w:tblStylePr w:type="lastRow">
      <w:rPr>
        <w:rFonts w:ascii="Arial" w:hAnsi="Arial"/>
        <w:color w:val="404040"/>
        <w:sz w:val="22"/>
      </w:rPr>
      <w:tcPr>
        <w:tcBorders>
          <w:top w:val="single" w:color="5B9BD5"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themeColor="accent1" w:sz="12" w:space="0"/>
        </w:tcBorders>
      </w:tc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180">
    <w:name w:val="Bordered - Accent 2"/>
    <w:basedOn w:val="12"/>
    <w:uiPriority w:val="99"/>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rFonts w:ascii="Arial" w:hAnsi="Arial"/>
        <w:color w:val="404040"/>
        <w:sz w:val="22"/>
      </w:rPr>
      <w:tcPr>
        <w:tcBorders>
          <w:bottom w:val="single" w:color="F4B285" w:themeColor="accent2" w:themeTint="97" w:sz="12" w:space="0"/>
        </w:tcBorders>
      </w:tcPr>
    </w:tblStylePr>
    <w:tblStylePr w:type="lastRow">
      <w:rPr>
        <w:rFonts w:ascii="Arial" w:hAnsi="Arial"/>
        <w:color w:val="404040"/>
        <w:sz w:val="22"/>
      </w:rPr>
      <w:tcPr>
        <w:tcBorders>
          <w:top w:val="single" w:color="F4B28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285" w:themeColor="accent2" w:themeTint="97" w:sz="12" w:space="0"/>
        </w:tcBorders>
      </w:tc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181">
    <w:name w:val="Bordered - Accent 3"/>
    <w:basedOn w:val="12"/>
    <w:uiPriority w:val="99"/>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rFonts w:ascii="Arial" w:hAnsi="Arial"/>
        <w:color w:val="404040"/>
        <w:sz w:val="22"/>
      </w:rPr>
      <w:tcPr>
        <w:tcBorders>
          <w:bottom w:val="single" w:color="C9C9C9" w:themeColor="accent3" w:themeTint="98" w:sz="12" w:space="0"/>
        </w:tcBorders>
      </w:tcPr>
    </w:tblStylePr>
    <w:tblStylePr w:type="lastRow">
      <w:rPr>
        <w:rFonts w:ascii="Arial" w:hAnsi="Arial"/>
        <w:color w:val="404040"/>
        <w:sz w:val="22"/>
      </w:rPr>
      <w:tcPr>
        <w:tcBorders>
          <w:top w:val="single" w:color="C9C9C9"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themeColor="accent3" w:themeTint="98" w:sz="12" w:space="0"/>
        </w:tcBorders>
      </w:tc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182">
    <w:name w:val="Bordered - Accent 4"/>
    <w:basedOn w:val="12"/>
    <w:uiPriority w:val="99"/>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rFonts w:ascii="Arial" w:hAnsi="Arial"/>
        <w:color w:val="404040"/>
        <w:sz w:val="22"/>
      </w:rPr>
      <w:tcPr>
        <w:tcBorders>
          <w:bottom w:val="single" w:color="FFD864" w:themeColor="accent4" w:themeTint="9A" w:sz="12" w:space="0"/>
        </w:tcBorders>
      </w:tcPr>
    </w:tblStylePr>
    <w:tblStylePr w:type="lastRow">
      <w:rPr>
        <w:rFonts w:ascii="Arial" w:hAnsi="Arial"/>
        <w:color w:val="404040"/>
        <w:sz w:val="22"/>
      </w:rPr>
      <w:tcPr>
        <w:tcBorders>
          <w:top w:val="single" w:color="FFD864"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4" w:themeColor="accent4" w:themeTint="9A" w:sz="12" w:space="0"/>
        </w:tcBorders>
      </w:tc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183">
    <w:name w:val="Bordered - Accent 5"/>
    <w:basedOn w:val="12"/>
    <w:uiPriority w:val="99"/>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rFonts w:ascii="Arial" w:hAnsi="Arial"/>
        <w:color w:val="404040"/>
        <w:sz w:val="22"/>
      </w:rPr>
      <w:tcPr>
        <w:tcBorders>
          <w:bottom w:val="single" w:color="8EA9DB" w:themeColor="accent5" w:themeTint="9A" w:sz="12" w:space="0"/>
        </w:tcBorders>
      </w:tcPr>
    </w:tblStylePr>
    <w:tblStylePr w:type="lastRow">
      <w:rPr>
        <w:rFonts w:ascii="Arial" w:hAnsi="Arial"/>
        <w:color w:val="404040"/>
        <w:sz w:val="22"/>
      </w:rPr>
      <w:tcPr>
        <w:tcBorders>
          <w:top w:val="single" w:color="8EA9DB"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EA9DB" w:themeColor="accent5" w:themeTint="9A" w:sz="12" w:space="0"/>
        </w:tcBorders>
      </w:tc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184">
    <w:name w:val="Bordered - Accent 6"/>
    <w:basedOn w:val="12"/>
    <w:uiPriority w:val="99"/>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rFonts w:ascii="Arial" w:hAnsi="Arial"/>
        <w:color w:val="404040"/>
        <w:sz w:val="22"/>
      </w:rPr>
      <w:tcPr>
        <w:tcBorders>
          <w:bottom w:val="single" w:color="A9D08E" w:themeColor="accent6" w:themeTint="98" w:sz="12" w:space="0"/>
        </w:tcBorders>
      </w:tcPr>
    </w:tblStylePr>
    <w:tblStylePr w:type="lastRow">
      <w:rPr>
        <w:rFonts w:ascii="Arial" w:hAnsi="Arial"/>
        <w:color w:val="404040"/>
        <w:sz w:val="22"/>
      </w:rPr>
      <w:tcPr>
        <w:tcBorders>
          <w:top w:val="single" w:color="A9D08E"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themeColor="accent6" w:themeTint="98" w:sz="12" w:space="0"/>
        </w:tcBorders>
      </w:tc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character" w:customStyle="1" w:styleId="185">
    <w:name w:val="Footnote Text Char"/>
    <w:uiPriority w:val="99"/>
    <w:rPr>
      <w:sz w:val="18"/>
    </w:rPr>
  </w:style>
  <w:style w:type="character" w:customStyle="1" w:styleId="186">
    <w:name w:val="Текст концевой сноски Знак"/>
    <w:link w:val="19"/>
    <w:qFormat/>
    <w:uiPriority w:val="99"/>
    <w:rPr>
      <w:sz w:val="20"/>
    </w:rPr>
  </w:style>
  <w:style w:type="paragraph" w:customStyle="1" w:styleId="187">
    <w:name w:val="TOC Heading"/>
    <w:unhideWhenUsed/>
    <w:qFormat/>
    <w:uiPriority w:val="39"/>
    <w:rPr>
      <w:rFonts w:ascii="Calibri" w:hAnsi="Calibri" w:eastAsia="Calibri" w:cs="Times New Roman"/>
      <w:lang w:val="ru-RU" w:eastAsia="ru-RU" w:bidi="ar-SA"/>
    </w:rPr>
  </w:style>
  <w:style w:type="character" w:customStyle="1" w:styleId="188">
    <w:name w:val="Верхний колонтитул Знак"/>
    <w:basedOn w:val="11"/>
    <w:link w:val="25"/>
    <w:qFormat/>
    <w:uiPriority w:val="99"/>
  </w:style>
  <w:style w:type="character" w:customStyle="1" w:styleId="189">
    <w:name w:val="Нижний колонтитул Знак"/>
    <w:basedOn w:val="11"/>
    <w:link w:val="37"/>
    <w:qFormat/>
    <w:uiPriority w:val="99"/>
  </w:style>
  <w:style w:type="paragraph" w:customStyle="1" w:styleId="190">
    <w:name w:val="ConsPlusNonformat"/>
    <w:qFormat/>
    <w:uiPriority w:val="99"/>
    <w:pPr>
      <w:ind w:firstLine="709"/>
      <w:jc w:val="both"/>
    </w:pPr>
    <w:rPr>
      <w:rFonts w:ascii="Courier New" w:hAnsi="Courier New" w:eastAsia="Calibri" w:cs="Courier New"/>
      <w:lang w:val="ru-RU" w:eastAsia="en-US" w:bidi="ar-SA"/>
    </w:rPr>
  </w:style>
  <w:style w:type="character" w:customStyle="1" w:styleId="191">
    <w:name w:val="Основной текст Знак"/>
    <w:link w:val="28"/>
    <w:qFormat/>
    <w:uiPriority w:val="0"/>
    <w:rPr>
      <w:rFonts w:ascii="Calibri" w:hAnsi="Calibri" w:cs="Calibri"/>
      <w:shd w:val="clear" w:color="auto" w:fill="FFFFFF"/>
    </w:rPr>
  </w:style>
  <w:style w:type="character" w:customStyle="1" w:styleId="192">
    <w:name w:val="Основной текст Знак1"/>
    <w:basedOn w:val="11"/>
    <w:semiHidden/>
    <w:qFormat/>
    <w:uiPriority w:val="99"/>
  </w:style>
  <w:style w:type="paragraph" w:styleId="193">
    <w:name w:val="List Paragraph"/>
    <w:basedOn w:val="1"/>
    <w:qFormat/>
    <w:uiPriority w:val="34"/>
    <w:pPr>
      <w:ind w:left="720"/>
      <w:contextualSpacing/>
    </w:pPr>
  </w:style>
  <w:style w:type="paragraph" w:customStyle="1" w:styleId="194">
    <w:name w:val="Default"/>
    <w:qFormat/>
    <w:uiPriority w:val="0"/>
    <w:pPr>
      <w:ind w:firstLine="709"/>
      <w:jc w:val="both"/>
    </w:pPr>
    <w:rPr>
      <w:rFonts w:ascii="Times New Roman" w:hAnsi="Times New Roman" w:eastAsia="Calibri" w:cs="Times New Roman"/>
      <w:color w:val="000000"/>
      <w:sz w:val="24"/>
      <w:szCs w:val="24"/>
      <w:lang w:val="ru-RU" w:eastAsia="ru-RU" w:bidi="ar-SA"/>
    </w:rPr>
  </w:style>
  <w:style w:type="character" w:customStyle="1" w:styleId="195">
    <w:name w:val="apple-converted-space"/>
    <w:basedOn w:val="11"/>
    <w:qFormat/>
    <w:uiPriority w:val="0"/>
  </w:style>
  <w:style w:type="character" w:customStyle="1" w:styleId="196">
    <w:name w:val="Текст сноски Знак"/>
    <w:link w:val="23"/>
    <w:qFormat/>
    <w:uiPriority w:val="99"/>
    <w:rPr>
      <w:rFonts w:ascii="Times New Roman" w:hAnsi="Times New Roman" w:eastAsia="Times New Roman" w:cs="Times New Roman"/>
      <w:sz w:val="20"/>
      <w:szCs w:val="20"/>
      <w:lang w:eastAsia="ru-RU"/>
    </w:rPr>
  </w:style>
  <w:style w:type="character" w:customStyle="1" w:styleId="197">
    <w:name w:val="Font Style12"/>
    <w:qFormat/>
    <w:uiPriority w:val="0"/>
    <w:rPr>
      <w:rFonts w:hint="default" w:ascii="Times New Roman" w:hAnsi="Times New Roman" w:cs="Times New Roman"/>
      <w:sz w:val="24"/>
      <w:szCs w:val="24"/>
    </w:rPr>
  </w:style>
  <w:style w:type="character" w:customStyle="1" w:styleId="198">
    <w:name w:val="Основной текст_"/>
    <w:link w:val="199"/>
    <w:qFormat/>
    <w:uiPriority w:val="0"/>
    <w:rPr>
      <w:sz w:val="28"/>
      <w:szCs w:val="28"/>
      <w:shd w:val="clear" w:color="auto" w:fill="FFFFFF"/>
    </w:rPr>
  </w:style>
  <w:style w:type="paragraph" w:customStyle="1" w:styleId="199">
    <w:name w:val="Основной текст1"/>
    <w:basedOn w:val="1"/>
    <w:link w:val="198"/>
    <w:qFormat/>
    <w:uiPriority w:val="0"/>
    <w:pPr>
      <w:shd w:val="clear" w:color="auto" w:fill="FFFFFF"/>
      <w:spacing w:after="420" w:line="0" w:lineRule="atLeast"/>
      <w:ind w:hanging="420"/>
      <w:jc w:val="center"/>
    </w:pPr>
    <w:rPr>
      <w:sz w:val="28"/>
      <w:szCs w:val="28"/>
    </w:rPr>
  </w:style>
  <w:style w:type="character" w:customStyle="1" w:styleId="200">
    <w:name w:val="Текст выноски Знак"/>
    <w:link w:val="18"/>
    <w:semiHidden/>
    <w:qFormat/>
    <w:uiPriority w:val="99"/>
    <w:rPr>
      <w:rFonts w:ascii="Tahoma" w:hAnsi="Tahoma" w:cs="Tahoma"/>
      <w:sz w:val="16"/>
      <w:szCs w:val="16"/>
    </w:rPr>
  </w:style>
  <w:style w:type="character" w:customStyle="1" w:styleId="201">
    <w:name w:val="Текст примечания Знак"/>
    <w:link w:val="21"/>
    <w:qFormat/>
    <w:uiPriority w:val="99"/>
    <w:rPr>
      <w:sz w:val="20"/>
      <w:szCs w:val="20"/>
    </w:rPr>
  </w:style>
  <w:style w:type="character" w:customStyle="1" w:styleId="202">
    <w:name w:val="Тема примечания Знак"/>
    <w:link w:val="22"/>
    <w:semiHidden/>
    <w:qFormat/>
    <w:uiPriority w:val="99"/>
    <w:rPr>
      <w:b/>
      <w:bCs/>
      <w:sz w:val="20"/>
      <w:szCs w:val="20"/>
    </w:rPr>
  </w:style>
  <w:style w:type="character" w:customStyle="1" w:styleId="203">
    <w:name w:val="Основной текст Знак11"/>
    <w:semiHidden/>
    <w:qFormat/>
    <w:uiPriority w:val="99"/>
    <w:rPr>
      <w:rFonts w:cs="Times New Roman"/>
    </w:rPr>
  </w:style>
  <w:style w:type="paragraph" w:customStyle="1" w:styleId="204">
    <w:name w:val="ConsPlusNormal"/>
    <w:qFormat/>
    <w:uiPriority w:val="0"/>
    <w:rPr>
      <w:rFonts w:ascii="Times New Roman" w:hAnsi="Times New Roman" w:eastAsia="Calibri" w:cs="Times New Roman"/>
      <w:sz w:val="28"/>
      <w:szCs w:val="28"/>
      <w:lang w:val="ru-RU" w:eastAsia="en-US" w:bidi="ar-SA"/>
    </w:rPr>
  </w:style>
  <w:style w:type="paragraph" w:customStyle="1" w:styleId="205">
    <w:name w:val="Revision"/>
    <w:hidden/>
    <w:semiHidden/>
    <w:qFormat/>
    <w:uiPriority w:val="99"/>
    <w:rPr>
      <w:rFonts w:ascii="Calibri" w:hAnsi="Calibri" w:eastAsia="Calibri" w:cs="Times New Roman"/>
      <w:sz w:val="22"/>
      <w:szCs w:val="22"/>
      <w:lang w:val="ru-RU" w:eastAsia="en-US" w:bidi="ar-SA"/>
    </w:rPr>
  </w:style>
  <w:style w:type="character" w:customStyle="1" w:styleId="206">
    <w:name w:val="Font Style33"/>
    <w:basedOn w:val="11"/>
    <w:qFormat/>
    <w:uiPriority w:val="99"/>
    <w:rPr>
      <w:rFonts w:ascii="Times New Roman" w:hAnsi="Times New Roman" w:cs="Times New Roman"/>
      <w:sz w:val="28"/>
      <w:szCs w:val="2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header" Target="header1.xml"/><Relationship Id="rId7" Type="http://schemas.openxmlformats.org/officeDocument/2006/relationships/fontTable" Target="fontTable.xml"/><Relationship Id="rId2" Type="http://schemas.openxmlformats.org/officeDocument/2006/relationships/settings" Target="settings.xml"/><Relationship Id="rId6" Type="http://schemas.openxmlformats.org/officeDocument/2006/relationships/customXml" Target="../customXml/item1.xml"/><Relationship Id="rId1"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customXml" Target="../customXml/item4.xml"/><Relationship Id="rId4" Type="http://schemas.openxmlformats.org/officeDocument/2006/relationships/theme" Target="theme/theme1.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84299A9AAF22374F9A4B3D7417A2FEBE" ma:contentTypeVersion="0" ma:contentTypeDescription="Создание документа." ma:contentTypeScope="" ma:versionID="bd886e6f530c583e2fd20cae8139d88b">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D2EE087-D709-44A7-913E-1DDC31044CD3}"/>
</file>

<file path=customXml/itemProps2.xml><?xml version="1.0" encoding="utf-8"?>
<ds:datastoreItem xmlns:ds="http://schemas.openxmlformats.org/officeDocument/2006/customXml" ds:itemID="{697FE92A-84E0-4C9C-9DE5-DE11F78F2B69}"/>
</file>

<file path=customXml/itemProps3.xml><?xml version="1.0" encoding="utf-8"?>
<ds:datastoreItem xmlns:ds="http://schemas.openxmlformats.org/officeDocument/2006/customXml" ds:itemID="{B54409FF-8C7D-4555-8F69-5232C0DBE8F4}"/>
</file>

<file path=customXml/itemProps4.xml><?xml version="1.0" encoding="utf-8"?>
<ds:datastoreItem xmlns:ds="http://schemas.openxmlformats.org/officeDocument/2006/customXml" ds:itemID="{8A29D41E-CD2C-4432-9611-61680C5020ED}"/>
</file>

<file path=docProps/app.xml><?xml version="1.0" encoding="utf-8"?>
<Properties xmlns="http://schemas.openxmlformats.org/officeDocument/2006/extended-properties" xmlns:vt="http://schemas.openxmlformats.org/officeDocument/2006/docPropsVTypes">
  <Template>Normal</Template>
  <Company>1</Company>
  <Pages>73</Pages>
  <Words>30620</Words>
  <Characters>174536</Characters>
  <Lines>1454</Lines>
  <Paragraphs>409</Paragraphs>
  <TotalTime>47</TotalTime>
  <ScaleCrop>false</ScaleCrop>
  <LinksUpToDate>false</LinksUpToDate>
  <CharactersWithSpaces>204747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KovalkovaEA</dc:creator>
  <cp:lastModifiedBy>Irina</cp:lastModifiedBy>
  <cp:revision>18</cp:revision>
  <cp:lastPrinted>2026-03-31T16:32:00Z</cp:lastPrinted>
  <dcterms:created xsi:type="dcterms:W3CDTF">2026-04-01T08:17:00Z</dcterms:created>
  <dcterms:modified xsi:type="dcterms:W3CDTF">2026-04-15T08:38:10Z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BFC775A5B5CF4F948A8F5473A4C4F984_13</vt:lpwstr>
  </property>
  <property fmtid="{D5CDD505-2E9C-101B-9397-08002B2CF9AE}" pid="4" name="ContentTypeId">
    <vt:lpwstr>0x01010084299A9AAF22374F9A4B3D7417A2FEBE</vt:lpwstr>
  </property>
</Properties>
</file>