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E4892DB5457479247431D75EAC18B" ma:contentTypeVersion="0" ma:contentTypeDescription="Создание документа." ma:contentTypeScope="" ma:versionID="6f15d9886bb91669dbcb0db03f2719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658D1E-B574-4C5A-B23E-A1886403613A}"/>
</file>

<file path=customXml/itemProps2.xml><?xml version="1.0" encoding="utf-8"?>
<ds:datastoreItem xmlns:ds="http://schemas.openxmlformats.org/officeDocument/2006/customXml" ds:itemID="{1CDBD5D0-A44F-4E38-A83B-0F65BBE99A98}"/>
</file>

<file path=customXml/itemProps3.xml><?xml version="1.0" encoding="utf-8"?>
<ds:datastoreItem xmlns:ds="http://schemas.openxmlformats.org/officeDocument/2006/customXml" ds:itemID="{F92C6F3B-0850-4F46-89AA-2239240D7C72}"/>
</file>

<file path=customXml/itemProps4.xml><?xml version="1.0" encoding="utf-8"?>
<ds:datastoreItem xmlns:ds="http://schemas.openxmlformats.org/officeDocument/2006/customXml" ds:itemID="{56F59872-BBB8-48FE-9906-D1326CC41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0x010100526E4892DB5457479247431D75EAC18B</vt:lpwstr>
  </property>
</Properties>
</file>